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118B" w14:textId="77777777" w:rsidR="0010535D" w:rsidRDefault="0077591B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TANTÁRGYI TEMATIKA</w:t>
      </w:r>
    </w:p>
    <w:p w14:paraId="4218C994" w14:textId="496EF656" w:rsidR="0010535D" w:rsidRDefault="007005F0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Igazságügyi igazgatás</w:t>
      </w:r>
      <w:r w:rsidR="00185CBE">
        <w:rPr>
          <w:b/>
          <w:sz w:val="24"/>
        </w:rPr>
        <w:t xml:space="preserve"> </w:t>
      </w:r>
      <w:r>
        <w:rPr>
          <w:b/>
          <w:sz w:val="24"/>
        </w:rPr>
        <w:t>alapszak</w:t>
      </w:r>
    </w:p>
    <w:p w14:paraId="40ED24E6" w14:textId="4D9F6997" w:rsidR="00AD0411" w:rsidRDefault="00AD0411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20</w:t>
      </w:r>
      <w:r w:rsidR="00CC4B94">
        <w:rPr>
          <w:b/>
          <w:sz w:val="24"/>
        </w:rPr>
        <w:t>2</w:t>
      </w:r>
      <w:r w:rsidR="0049759F">
        <w:rPr>
          <w:b/>
          <w:sz w:val="24"/>
        </w:rPr>
        <w:t>5</w:t>
      </w:r>
      <w:r>
        <w:rPr>
          <w:b/>
          <w:sz w:val="24"/>
        </w:rPr>
        <w:t>/</w:t>
      </w:r>
      <w:r w:rsidR="001D2A3D">
        <w:rPr>
          <w:b/>
          <w:sz w:val="24"/>
        </w:rPr>
        <w:t>2</w:t>
      </w:r>
      <w:r w:rsidR="0049759F">
        <w:rPr>
          <w:b/>
          <w:sz w:val="24"/>
        </w:rPr>
        <w:t>6</w:t>
      </w:r>
      <w:r>
        <w:rPr>
          <w:b/>
          <w:sz w:val="24"/>
        </w:rPr>
        <w:t>/2.</w:t>
      </w:r>
      <w:r w:rsidR="001D2A3D">
        <w:rPr>
          <w:b/>
          <w:sz w:val="24"/>
        </w:rPr>
        <w:t xml:space="preserve"> félév</w:t>
      </w:r>
    </w:p>
    <w:tbl>
      <w:tblPr>
        <w:tblW w:w="967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5"/>
        <w:gridCol w:w="4835"/>
      </w:tblGrid>
      <w:tr w:rsidR="0010535D" w:rsidRPr="001D2A3D" w14:paraId="333A3ACC" w14:textId="77777777" w:rsidTr="4A812E2E">
        <w:tc>
          <w:tcPr>
            <w:tcW w:w="4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0290" w14:textId="77777777" w:rsidR="0010535D" w:rsidRPr="001D2A3D" w:rsidRDefault="0077591B">
            <w:pPr>
              <w:spacing w:after="0" w:line="240" w:lineRule="auto"/>
              <w:rPr>
                <w:b/>
              </w:rPr>
            </w:pPr>
            <w:r w:rsidRPr="001D2A3D">
              <w:rPr>
                <w:b/>
              </w:rPr>
              <w:t>Tantárgy neve:</w:t>
            </w:r>
          </w:p>
          <w:p w14:paraId="5141394F" w14:textId="68BFF348" w:rsidR="0010535D" w:rsidRPr="001D2A3D" w:rsidRDefault="006724E9" w:rsidP="006724E9">
            <w:pPr>
              <w:spacing w:after="0" w:line="240" w:lineRule="auto"/>
            </w:pPr>
            <w:r w:rsidRPr="001D2A3D">
              <w:t>Polgári jogi</w:t>
            </w:r>
            <w:r w:rsidR="003F506C" w:rsidRPr="001D2A3D">
              <w:t xml:space="preserve"> gyakorlat</w:t>
            </w:r>
            <w:r w:rsidRPr="001D2A3D">
              <w:t xml:space="preserve"> 2.</w:t>
            </w:r>
          </w:p>
        </w:tc>
        <w:tc>
          <w:tcPr>
            <w:tcW w:w="4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D97" w14:textId="77777777" w:rsidR="00517E06" w:rsidRPr="001D2A3D" w:rsidRDefault="0077591B" w:rsidP="00577982">
            <w:pPr>
              <w:spacing w:after="0" w:line="240" w:lineRule="auto"/>
              <w:rPr>
                <w:b/>
                <w:color w:val="000000" w:themeColor="text1"/>
              </w:rPr>
            </w:pPr>
            <w:r w:rsidRPr="001D2A3D">
              <w:rPr>
                <w:b/>
                <w:color w:val="000000" w:themeColor="text1"/>
              </w:rPr>
              <w:t>Tantárgy Neptun kódja:</w:t>
            </w:r>
          </w:p>
          <w:p w14:paraId="2BAD8218" w14:textId="747640C0" w:rsidR="003F506C" w:rsidRPr="001D2A3D" w:rsidRDefault="003F506C" w:rsidP="00577982">
            <w:pPr>
              <w:spacing w:after="0" w:line="240" w:lineRule="auto"/>
              <w:rPr>
                <w:color w:val="000000" w:themeColor="text1"/>
              </w:rPr>
            </w:pPr>
            <w:r w:rsidRPr="001D2A3D">
              <w:rPr>
                <w:color w:val="000000" w:themeColor="text1"/>
              </w:rPr>
              <w:t>AJPJT153IÜN4</w:t>
            </w:r>
          </w:p>
          <w:p w14:paraId="779F07D3" w14:textId="382DDA8F" w:rsidR="001D2A3D" w:rsidRPr="001D2A3D" w:rsidRDefault="000D3CE9" w:rsidP="0057798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AJPJT143IÜ</w:t>
            </w:r>
            <w:r w:rsidR="001D2A3D" w:rsidRPr="001D2A3D">
              <w:rPr>
                <w:color w:val="000000" w:themeColor="text1"/>
              </w:rPr>
              <w:t>4</w:t>
            </w:r>
          </w:p>
          <w:p w14:paraId="1FFFA449" w14:textId="77777777" w:rsidR="005B758D" w:rsidRPr="001D2A3D" w:rsidRDefault="005B758D" w:rsidP="00577982">
            <w:pPr>
              <w:spacing w:after="0" w:line="240" w:lineRule="auto"/>
              <w:rPr>
                <w:color w:val="000000" w:themeColor="text1"/>
              </w:rPr>
            </w:pPr>
          </w:p>
          <w:p w14:paraId="19B79776" w14:textId="2C9A048E" w:rsidR="0010535D" w:rsidRPr="001D2A3D" w:rsidRDefault="0077591B" w:rsidP="00577982">
            <w:pPr>
              <w:spacing w:after="0" w:line="240" w:lineRule="auto"/>
              <w:rPr>
                <w:color w:val="000000" w:themeColor="text1"/>
              </w:rPr>
            </w:pPr>
            <w:r w:rsidRPr="001D2A3D">
              <w:rPr>
                <w:b/>
                <w:color w:val="000000" w:themeColor="text1"/>
              </w:rPr>
              <w:t>Tárgyfelelős intézet:</w:t>
            </w:r>
            <w:r w:rsidRPr="001D2A3D">
              <w:rPr>
                <w:color w:val="000000" w:themeColor="text1"/>
              </w:rPr>
              <w:t xml:space="preserve"> </w:t>
            </w:r>
            <w:proofErr w:type="spellStart"/>
            <w:r w:rsidR="0077560D" w:rsidRPr="001D2A3D">
              <w:rPr>
                <w:color w:val="000000" w:themeColor="text1"/>
              </w:rPr>
              <w:t>Civilisztikai</w:t>
            </w:r>
            <w:proofErr w:type="spellEnd"/>
            <w:r w:rsidR="0077560D" w:rsidRPr="001D2A3D">
              <w:rPr>
                <w:color w:val="000000" w:themeColor="text1"/>
              </w:rPr>
              <w:t xml:space="preserve"> Tudományok Intézete Polgári Jogi Tanszék</w:t>
            </w:r>
          </w:p>
        </w:tc>
      </w:tr>
      <w:tr w:rsidR="0010535D" w:rsidRPr="001D2A3D" w14:paraId="15A2876E" w14:textId="77777777" w:rsidTr="4A812E2E">
        <w:tc>
          <w:tcPr>
            <w:tcW w:w="48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6F09" w14:textId="77777777" w:rsidR="0010535D" w:rsidRPr="001D2A3D" w:rsidRDefault="0010535D">
            <w:pPr>
              <w:spacing w:after="0" w:line="240" w:lineRule="auto"/>
            </w:pPr>
          </w:p>
        </w:tc>
        <w:tc>
          <w:tcPr>
            <w:tcW w:w="4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69EAF" w14:textId="2DEAD380" w:rsidR="0010535D" w:rsidRPr="001D2A3D" w:rsidRDefault="0077591B">
            <w:pPr>
              <w:spacing w:after="0" w:line="240" w:lineRule="auto"/>
            </w:pPr>
            <w:r w:rsidRPr="001D2A3D">
              <w:rPr>
                <w:b/>
              </w:rPr>
              <w:t>Tantárgyelem:</w:t>
            </w:r>
            <w:r w:rsidRPr="001D2A3D">
              <w:t xml:space="preserve"> </w:t>
            </w:r>
            <w:r w:rsidR="00CD0200" w:rsidRPr="001D2A3D">
              <w:t>kötelező</w:t>
            </w:r>
          </w:p>
        </w:tc>
      </w:tr>
      <w:tr w:rsidR="0010535D" w:rsidRPr="001D2A3D" w14:paraId="7B8E7CA7" w14:textId="77777777" w:rsidTr="4A812E2E">
        <w:tc>
          <w:tcPr>
            <w:tcW w:w="9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23100" w14:textId="3FC2E427" w:rsidR="0010535D" w:rsidRPr="001D2A3D" w:rsidRDefault="0077591B" w:rsidP="00D80006">
            <w:pPr>
              <w:spacing w:after="0" w:line="240" w:lineRule="auto"/>
            </w:pPr>
            <w:r w:rsidRPr="001D2A3D">
              <w:rPr>
                <w:b/>
              </w:rPr>
              <w:t>Tárgyfelelős:</w:t>
            </w:r>
            <w:r w:rsidR="00CD0200" w:rsidRPr="001D2A3D">
              <w:t xml:space="preserve"> </w:t>
            </w:r>
            <w:r w:rsidR="00FC7EED" w:rsidRPr="001D2A3D">
              <w:rPr>
                <w:color w:val="000000" w:themeColor="text1"/>
              </w:rPr>
              <w:t>Dr.</w:t>
            </w:r>
            <w:r w:rsidR="007537A1">
              <w:rPr>
                <w:color w:val="000000" w:themeColor="text1"/>
              </w:rPr>
              <w:t xml:space="preserve"> </w:t>
            </w:r>
            <w:r w:rsidR="00A31D62">
              <w:rPr>
                <w:color w:val="000000" w:themeColor="text1"/>
              </w:rPr>
              <w:t>habil.</w:t>
            </w:r>
            <w:r w:rsidR="00FC7EED" w:rsidRPr="001D2A3D">
              <w:rPr>
                <w:color w:val="000000" w:themeColor="text1"/>
              </w:rPr>
              <w:t xml:space="preserve"> Juhász Ágnes</w:t>
            </w:r>
            <w:r w:rsidR="00CC4B94">
              <w:rPr>
                <w:color w:val="000000" w:themeColor="text1"/>
              </w:rPr>
              <w:t xml:space="preserve"> </w:t>
            </w:r>
            <w:r w:rsidR="00665B47" w:rsidRPr="001D2A3D">
              <w:rPr>
                <w:color w:val="000000" w:themeColor="text1"/>
              </w:rPr>
              <w:t xml:space="preserve">egyetemi </w:t>
            </w:r>
            <w:r w:rsidR="00D80006">
              <w:rPr>
                <w:color w:val="000000" w:themeColor="text1"/>
              </w:rPr>
              <w:t>docens</w:t>
            </w:r>
          </w:p>
        </w:tc>
      </w:tr>
      <w:tr w:rsidR="0010535D" w:rsidRPr="001D2A3D" w14:paraId="52906650" w14:textId="77777777" w:rsidTr="4A812E2E">
        <w:tc>
          <w:tcPr>
            <w:tcW w:w="9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2796" w14:textId="77777777" w:rsidR="0010535D" w:rsidRPr="001D2A3D" w:rsidRDefault="0077591B">
            <w:pPr>
              <w:spacing w:after="0" w:line="240" w:lineRule="auto"/>
              <w:rPr>
                <w:color w:val="000000" w:themeColor="text1"/>
              </w:rPr>
            </w:pPr>
            <w:r w:rsidRPr="001D2A3D">
              <w:rPr>
                <w:b/>
                <w:color w:val="000000" w:themeColor="text1"/>
              </w:rPr>
              <w:t>Közreműködő oktató(k):</w:t>
            </w:r>
          </w:p>
          <w:p w14:paraId="649A8A5C" w14:textId="341238C4" w:rsidR="00685100" w:rsidRDefault="00685100" w:rsidP="00665B47">
            <w:pPr>
              <w:spacing w:after="0" w:line="240" w:lineRule="auto"/>
              <w:rPr>
                <w:color w:val="000000" w:themeColor="text1"/>
              </w:rPr>
            </w:pPr>
            <w:r w:rsidRPr="00685100">
              <w:rPr>
                <w:color w:val="000000" w:themeColor="text1"/>
                <w:u w:val="single"/>
              </w:rPr>
              <w:t>nappali</w:t>
            </w:r>
            <w:r>
              <w:rPr>
                <w:color w:val="000000" w:themeColor="text1"/>
              </w:rPr>
              <w:t>:</w:t>
            </w:r>
          </w:p>
          <w:p w14:paraId="5E894EFB" w14:textId="5910625E" w:rsidR="002428B7" w:rsidRDefault="002428B7" w:rsidP="00665B47">
            <w:pPr>
              <w:spacing w:after="0" w:line="240" w:lineRule="auto"/>
              <w:rPr>
                <w:color w:val="000000" w:themeColor="text1"/>
              </w:rPr>
            </w:pPr>
            <w:r w:rsidRPr="001D2A3D">
              <w:rPr>
                <w:color w:val="000000" w:themeColor="text1"/>
              </w:rPr>
              <w:t>Dr.</w:t>
            </w:r>
            <w:r w:rsidR="007537A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habil.</w:t>
            </w:r>
            <w:r w:rsidRPr="001D2A3D">
              <w:rPr>
                <w:color w:val="000000" w:themeColor="text1"/>
              </w:rPr>
              <w:t xml:space="preserve"> Juhász Ágnes</w:t>
            </w:r>
            <w:r>
              <w:rPr>
                <w:color w:val="000000" w:themeColor="text1"/>
              </w:rPr>
              <w:t xml:space="preserve"> </w:t>
            </w:r>
            <w:r w:rsidRPr="001D2A3D">
              <w:rPr>
                <w:color w:val="000000" w:themeColor="text1"/>
              </w:rPr>
              <w:t xml:space="preserve">egyetemi </w:t>
            </w:r>
            <w:r w:rsidR="00D80006">
              <w:rPr>
                <w:color w:val="000000" w:themeColor="text1"/>
              </w:rPr>
              <w:t>docens</w:t>
            </w:r>
          </w:p>
          <w:p w14:paraId="5C9AD7FE" w14:textId="77777777" w:rsidR="00CC4B94" w:rsidRDefault="00CC4B94" w:rsidP="00D80006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dr. Tóth Gergő József </w:t>
            </w:r>
            <w:r w:rsidR="00D80006">
              <w:rPr>
                <w:color w:val="000000" w:themeColor="text1"/>
              </w:rPr>
              <w:t>egyetemi tanársegéd</w:t>
            </w:r>
          </w:p>
          <w:p w14:paraId="375084C1" w14:textId="71FD33A1" w:rsidR="0049759F" w:rsidRDefault="0049759F" w:rsidP="00D80006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dr. Stefán Ibolya egyetemi tanársegéd</w:t>
            </w:r>
          </w:p>
          <w:p w14:paraId="46AE0F88" w14:textId="77777777" w:rsidR="00685100" w:rsidRDefault="00685100" w:rsidP="00D80006">
            <w:pPr>
              <w:spacing w:after="0" w:line="240" w:lineRule="auto"/>
              <w:rPr>
                <w:color w:val="000000" w:themeColor="text1"/>
              </w:rPr>
            </w:pPr>
            <w:r w:rsidRPr="00685100">
              <w:rPr>
                <w:color w:val="000000" w:themeColor="text1"/>
                <w:u w:val="single"/>
              </w:rPr>
              <w:t>levelező</w:t>
            </w:r>
            <w:r>
              <w:rPr>
                <w:color w:val="000000" w:themeColor="text1"/>
              </w:rPr>
              <w:t>:</w:t>
            </w:r>
          </w:p>
          <w:p w14:paraId="24510097" w14:textId="1EFE0441" w:rsidR="00685100" w:rsidRPr="001D2A3D" w:rsidRDefault="00685100" w:rsidP="00D80006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Dr. Udvarhelyiné Dr. Sápi Edit egyetemi </w:t>
            </w:r>
            <w:r w:rsidR="008F4E14">
              <w:rPr>
                <w:color w:val="000000" w:themeColor="text1"/>
              </w:rPr>
              <w:t>docen</w:t>
            </w:r>
            <w:r w:rsidR="00C32894">
              <w:rPr>
                <w:color w:val="000000" w:themeColor="text1"/>
              </w:rPr>
              <w:t>s és dr. Stefán Ibolya egyetemi tanársegéd</w:t>
            </w:r>
          </w:p>
        </w:tc>
      </w:tr>
      <w:tr w:rsidR="0010535D" w:rsidRPr="001D2A3D" w14:paraId="4A7B79ED" w14:textId="77777777" w:rsidTr="4A812E2E">
        <w:tc>
          <w:tcPr>
            <w:tcW w:w="4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F384" w14:textId="6CC330F8" w:rsidR="0010535D" w:rsidRPr="001D2A3D" w:rsidRDefault="0077591B">
            <w:pPr>
              <w:spacing w:after="0" w:line="240" w:lineRule="auto"/>
            </w:pPr>
            <w:r w:rsidRPr="001D2A3D">
              <w:rPr>
                <w:b/>
              </w:rPr>
              <w:t xml:space="preserve">Javasolt félév: </w:t>
            </w:r>
            <w:r w:rsidR="007005F0" w:rsidRPr="001D2A3D">
              <w:t>4</w:t>
            </w:r>
            <w:r w:rsidR="00CD0200" w:rsidRPr="001D2A3D">
              <w:t>. félév</w:t>
            </w:r>
          </w:p>
        </w:tc>
        <w:tc>
          <w:tcPr>
            <w:tcW w:w="4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7CA5F" w14:textId="377BCDC7" w:rsidR="0010535D" w:rsidRPr="001D2A3D" w:rsidRDefault="0077591B">
            <w:pPr>
              <w:spacing w:after="0" w:line="240" w:lineRule="auto"/>
            </w:pPr>
            <w:r w:rsidRPr="001D2A3D">
              <w:rPr>
                <w:b/>
              </w:rPr>
              <w:t>Előfeltétel:</w:t>
            </w:r>
            <w:r w:rsidRPr="001D2A3D">
              <w:t xml:space="preserve"> </w:t>
            </w:r>
            <w:r w:rsidR="003F506C" w:rsidRPr="001D2A3D">
              <w:t>-</w:t>
            </w:r>
          </w:p>
        </w:tc>
      </w:tr>
      <w:tr w:rsidR="0010535D" w:rsidRPr="001D2A3D" w14:paraId="700D79C3" w14:textId="77777777" w:rsidTr="4A812E2E">
        <w:tc>
          <w:tcPr>
            <w:tcW w:w="4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BF3C" w14:textId="0A312BE5" w:rsidR="0010535D" w:rsidRPr="001D2A3D" w:rsidRDefault="00C71356">
            <w:pPr>
              <w:spacing w:after="0" w:line="240" w:lineRule="auto"/>
            </w:pPr>
            <w:r w:rsidRPr="001D2A3D">
              <w:rPr>
                <w:b/>
              </w:rPr>
              <w:t>Óraszám</w:t>
            </w:r>
            <w:r w:rsidR="0077591B" w:rsidRPr="001D2A3D">
              <w:rPr>
                <w:b/>
              </w:rPr>
              <w:t>:</w:t>
            </w:r>
            <w:r w:rsidR="003F506C" w:rsidRPr="001D2A3D">
              <w:t xml:space="preserve"> </w:t>
            </w:r>
            <w:r w:rsidR="00A90355" w:rsidRPr="001D2A3D">
              <w:t>2</w:t>
            </w:r>
            <w:r w:rsidR="00E4045E" w:rsidRPr="001D2A3D">
              <w:t xml:space="preserve"> </w:t>
            </w:r>
            <w:r w:rsidR="00CE2397" w:rsidRPr="001D2A3D">
              <w:t xml:space="preserve">óra / </w:t>
            </w:r>
            <w:r w:rsidR="00753EFC" w:rsidRPr="001D2A3D">
              <w:t>hét</w:t>
            </w:r>
          </w:p>
          <w:p w14:paraId="7E0143A6" w14:textId="3A64A9A3" w:rsidR="00517E06" w:rsidRPr="001D2A3D" w:rsidRDefault="00517E06">
            <w:pPr>
              <w:spacing w:after="0" w:line="240" w:lineRule="auto"/>
            </w:pPr>
          </w:p>
        </w:tc>
        <w:tc>
          <w:tcPr>
            <w:tcW w:w="4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2D3F" w14:textId="631D4DF8" w:rsidR="0010535D" w:rsidRPr="001D2A3D" w:rsidRDefault="0077591B">
            <w:pPr>
              <w:spacing w:after="0" w:line="240" w:lineRule="auto"/>
            </w:pPr>
            <w:r w:rsidRPr="001D2A3D">
              <w:rPr>
                <w:b/>
              </w:rPr>
              <w:t xml:space="preserve">Számonkérés módja: </w:t>
            </w:r>
            <w:r w:rsidR="003F506C" w:rsidRPr="001D2A3D">
              <w:t>gyakorlat</w:t>
            </w:r>
            <w:r w:rsidR="0059032F" w:rsidRPr="001D2A3D">
              <w:t>i jegy</w:t>
            </w:r>
          </w:p>
        </w:tc>
      </w:tr>
      <w:tr w:rsidR="0010535D" w:rsidRPr="001D2A3D" w14:paraId="21BF0C6D" w14:textId="77777777" w:rsidTr="4A812E2E">
        <w:tc>
          <w:tcPr>
            <w:tcW w:w="4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530AA" w14:textId="10957FEF" w:rsidR="00A90355" w:rsidRPr="001D2A3D" w:rsidRDefault="0077591B">
            <w:pPr>
              <w:spacing w:after="0" w:line="240" w:lineRule="auto"/>
            </w:pPr>
            <w:r w:rsidRPr="001D2A3D">
              <w:rPr>
                <w:b/>
              </w:rPr>
              <w:t>Kreditpont:</w:t>
            </w:r>
            <w:r w:rsidR="003F506C" w:rsidRPr="001D2A3D">
              <w:t xml:space="preserve"> 1</w:t>
            </w:r>
          </w:p>
        </w:tc>
        <w:tc>
          <w:tcPr>
            <w:tcW w:w="4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C94A" w14:textId="18D72A78" w:rsidR="0010535D" w:rsidRPr="001D2A3D" w:rsidRDefault="007D32F7">
            <w:pPr>
              <w:spacing w:after="0" w:line="240" w:lineRule="auto"/>
            </w:pPr>
            <w:r w:rsidRPr="001D2A3D">
              <w:rPr>
                <w:b/>
              </w:rPr>
              <w:t>Munkarend</w:t>
            </w:r>
            <w:r w:rsidR="0077591B" w:rsidRPr="001D2A3D">
              <w:rPr>
                <w:b/>
              </w:rPr>
              <w:t>:</w:t>
            </w:r>
            <w:r w:rsidR="00CD0200" w:rsidRPr="001D2A3D">
              <w:t xml:space="preserve"> </w:t>
            </w:r>
            <w:r w:rsidR="0077560D" w:rsidRPr="001D2A3D">
              <w:t>nappali</w:t>
            </w:r>
          </w:p>
        </w:tc>
      </w:tr>
      <w:tr w:rsidR="0010535D" w:rsidRPr="001D2A3D" w14:paraId="37D10A6B" w14:textId="77777777" w:rsidTr="4A812E2E">
        <w:tc>
          <w:tcPr>
            <w:tcW w:w="9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84D8" w14:textId="77777777" w:rsidR="0010535D" w:rsidRPr="001D2A3D" w:rsidRDefault="0077591B">
            <w:pPr>
              <w:spacing w:after="0" w:line="240" w:lineRule="auto"/>
              <w:rPr>
                <w:b/>
              </w:rPr>
            </w:pPr>
            <w:r w:rsidRPr="001D2A3D">
              <w:rPr>
                <w:b/>
              </w:rPr>
              <w:t>Tantárgy feladata és célja:</w:t>
            </w:r>
          </w:p>
          <w:p w14:paraId="259BF060" w14:textId="7C1DBDD1" w:rsidR="007005F0" w:rsidRPr="001D2A3D" w:rsidRDefault="007005F0" w:rsidP="007005F0">
            <w:pPr>
              <w:spacing w:after="0" w:line="240" w:lineRule="auto"/>
              <w:rPr>
                <w:color w:val="000000" w:themeColor="text1"/>
              </w:rPr>
            </w:pPr>
            <w:r w:rsidRPr="001D2A3D">
              <w:rPr>
                <w:color w:val="000000" w:themeColor="text1"/>
              </w:rPr>
              <w:t xml:space="preserve">A polgári jog a </w:t>
            </w:r>
            <w:proofErr w:type="spellStart"/>
            <w:r w:rsidRPr="001D2A3D">
              <w:rPr>
                <w:color w:val="000000" w:themeColor="text1"/>
              </w:rPr>
              <w:t>civilisztikai</w:t>
            </w:r>
            <w:proofErr w:type="spellEnd"/>
            <w:r w:rsidRPr="001D2A3D">
              <w:rPr>
                <w:color w:val="000000" w:themeColor="text1"/>
              </w:rPr>
              <w:t xml:space="preserve"> tudományterület alapozó tantárgya. A polgári jogi oktatás célja a klasszikus magánjogi ismeretek átadása, figyelemmel a főiskolai szintű képzés követelményeire. A képzés egyaránt hangsúlyt fektet az elméleti alapozásra, valamint a bírói gyakorlatot is felölelő tételes joganyag elsajátítására. A polgári jog két féléven keresztül kerül oktatásra, az egyes félévek tananyaga egymásra épül. </w:t>
            </w:r>
          </w:p>
          <w:p w14:paraId="4E726D14" w14:textId="769F10BC" w:rsidR="00F80095" w:rsidRPr="001D2A3D" w:rsidRDefault="007005F0" w:rsidP="007005F0">
            <w:pPr>
              <w:spacing w:after="0" w:line="240" w:lineRule="auto"/>
              <w:rPr>
                <w:color w:val="000000" w:themeColor="text1"/>
              </w:rPr>
            </w:pPr>
            <w:r w:rsidRPr="001D2A3D">
              <w:rPr>
                <w:color w:val="000000" w:themeColor="text1"/>
              </w:rPr>
              <w:t>A második szemeszterben a hallgatók megismerkednek a kötelmi jog általános, valamint az egyes szerződéstípusokat magában foglaló különös részével, valamint a</w:t>
            </w:r>
            <w:r w:rsidR="003F506C" w:rsidRPr="001D2A3D">
              <w:rPr>
                <w:color w:val="000000" w:themeColor="text1"/>
              </w:rPr>
              <w:t xml:space="preserve"> szerződésen kívül okozott káro</w:t>
            </w:r>
            <w:r w:rsidRPr="001D2A3D">
              <w:rPr>
                <w:color w:val="000000" w:themeColor="text1"/>
              </w:rPr>
              <w:t>kért való felelősség joganyagával.</w:t>
            </w:r>
          </w:p>
          <w:p w14:paraId="6D7770F5" w14:textId="77777777" w:rsidR="007005F0" w:rsidRPr="001D2A3D" w:rsidRDefault="007005F0" w:rsidP="007005F0">
            <w:pPr>
              <w:spacing w:after="0" w:line="240" w:lineRule="auto"/>
            </w:pPr>
          </w:p>
          <w:p w14:paraId="478476C6" w14:textId="77777777" w:rsidR="00541B55" w:rsidRPr="001D2A3D" w:rsidRDefault="00541B55" w:rsidP="00541B55">
            <w:pPr>
              <w:spacing w:after="0" w:line="240" w:lineRule="auto"/>
              <w:rPr>
                <w:b/>
                <w:color w:val="000000" w:themeColor="text1"/>
              </w:rPr>
            </w:pPr>
            <w:r w:rsidRPr="001D2A3D">
              <w:rPr>
                <w:b/>
                <w:color w:val="000000" w:themeColor="text1"/>
              </w:rPr>
              <w:t>Fejlesztendő kompetenciák:</w:t>
            </w:r>
          </w:p>
          <w:p w14:paraId="7E3FFC92" w14:textId="77777777" w:rsidR="007005F0" w:rsidRPr="001D2A3D" w:rsidRDefault="007005F0" w:rsidP="007005F0">
            <w:pPr>
              <w:spacing w:after="0" w:line="240" w:lineRule="auto"/>
              <w:rPr>
                <w:color w:val="0D0D0D" w:themeColor="text1" w:themeTint="F2"/>
              </w:rPr>
            </w:pPr>
            <w:r w:rsidRPr="001D2A3D">
              <w:rPr>
                <w:b/>
                <w:i/>
                <w:color w:val="0D0D0D" w:themeColor="text1" w:themeTint="F2"/>
              </w:rPr>
              <w:t>tudás:</w:t>
            </w:r>
            <w:r w:rsidRPr="001D2A3D">
              <w:rPr>
                <w:color w:val="0D0D0D" w:themeColor="text1" w:themeTint="F2"/>
              </w:rPr>
              <w:t xml:space="preserve"> T1, T2, T3, T12</w:t>
            </w:r>
          </w:p>
          <w:p w14:paraId="77C979D4" w14:textId="77777777" w:rsidR="007005F0" w:rsidRPr="001D2A3D" w:rsidRDefault="007005F0" w:rsidP="007005F0">
            <w:pPr>
              <w:spacing w:after="0" w:line="240" w:lineRule="auto"/>
              <w:rPr>
                <w:color w:val="0D0D0D" w:themeColor="text1" w:themeTint="F2"/>
              </w:rPr>
            </w:pPr>
            <w:r w:rsidRPr="001D2A3D">
              <w:rPr>
                <w:b/>
                <w:i/>
                <w:color w:val="0D0D0D" w:themeColor="text1" w:themeTint="F2"/>
              </w:rPr>
              <w:t>képesség:</w:t>
            </w:r>
            <w:r w:rsidRPr="001D2A3D">
              <w:rPr>
                <w:color w:val="0D0D0D" w:themeColor="text1" w:themeTint="F2"/>
              </w:rPr>
              <w:t xml:space="preserve"> K1, K2, K3, K6</w:t>
            </w:r>
          </w:p>
          <w:p w14:paraId="07539F8C" w14:textId="77777777" w:rsidR="007005F0" w:rsidRPr="001D2A3D" w:rsidRDefault="007005F0" w:rsidP="007005F0">
            <w:pPr>
              <w:spacing w:after="0" w:line="240" w:lineRule="auto"/>
              <w:rPr>
                <w:color w:val="0D0D0D" w:themeColor="text1" w:themeTint="F2"/>
              </w:rPr>
            </w:pPr>
            <w:r w:rsidRPr="001D2A3D">
              <w:rPr>
                <w:b/>
                <w:i/>
                <w:color w:val="0D0D0D" w:themeColor="text1" w:themeTint="F2"/>
              </w:rPr>
              <w:t>attitűd:</w:t>
            </w:r>
            <w:r w:rsidRPr="001D2A3D">
              <w:rPr>
                <w:color w:val="0D0D0D" w:themeColor="text1" w:themeTint="F2"/>
              </w:rPr>
              <w:t xml:space="preserve"> A1, A2, A7</w:t>
            </w:r>
          </w:p>
          <w:p w14:paraId="2E1C7622" w14:textId="77777777" w:rsidR="007005F0" w:rsidRPr="001D2A3D" w:rsidRDefault="007005F0" w:rsidP="007005F0">
            <w:pPr>
              <w:spacing w:after="0" w:line="240" w:lineRule="auto"/>
              <w:rPr>
                <w:color w:val="0D0D0D" w:themeColor="text1" w:themeTint="F2"/>
              </w:rPr>
            </w:pPr>
            <w:r w:rsidRPr="001D2A3D">
              <w:rPr>
                <w:b/>
                <w:i/>
                <w:color w:val="0D0D0D" w:themeColor="text1" w:themeTint="F2"/>
              </w:rPr>
              <w:t>autonómia és felelősség:</w:t>
            </w:r>
            <w:r w:rsidRPr="001D2A3D">
              <w:rPr>
                <w:color w:val="0D0D0D" w:themeColor="text1" w:themeTint="F2"/>
              </w:rPr>
              <w:t xml:space="preserve"> F1, F2</w:t>
            </w:r>
          </w:p>
          <w:p w14:paraId="36D8D786" w14:textId="1C8A3C82" w:rsidR="0010535D" w:rsidRPr="001D2A3D" w:rsidRDefault="0010535D" w:rsidP="00472294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10535D" w:rsidRPr="001D2A3D" w14:paraId="5B842DFC" w14:textId="77777777" w:rsidTr="4A812E2E">
        <w:tc>
          <w:tcPr>
            <w:tcW w:w="9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21477" w14:textId="77777777" w:rsidR="0010535D" w:rsidRPr="001D2A3D" w:rsidRDefault="0077591B">
            <w:pPr>
              <w:spacing w:after="0" w:line="240" w:lineRule="auto"/>
              <w:rPr>
                <w:b/>
              </w:rPr>
            </w:pPr>
            <w:r w:rsidRPr="001D2A3D">
              <w:rPr>
                <w:b/>
              </w:rPr>
              <w:t>Tantárgy tematikus leírása:</w:t>
            </w:r>
          </w:p>
          <w:p w14:paraId="7D878482" w14:textId="77777777" w:rsidR="00AD0411" w:rsidRPr="001D2A3D" w:rsidRDefault="00AD0411">
            <w:pPr>
              <w:spacing w:after="0" w:line="240" w:lineRule="auto"/>
              <w:rPr>
                <w:b/>
              </w:rPr>
            </w:pPr>
          </w:p>
          <w:p w14:paraId="77A25D50" w14:textId="49909DA9" w:rsidR="00AD0411" w:rsidRDefault="00AD0411">
            <w:pPr>
              <w:spacing w:after="0" w:line="240" w:lineRule="auto"/>
            </w:pPr>
            <w:r w:rsidRPr="001D2A3D">
              <w:rPr>
                <w:u w:val="single"/>
              </w:rPr>
              <w:t>Nappali tagozat</w:t>
            </w:r>
            <w:r w:rsidRPr="001D2A3D">
              <w:t>:</w:t>
            </w:r>
          </w:p>
          <w:p w14:paraId="4BFD2680" w14:textId="7D2B5A81" w:rsidR="00637EA9" w:rsidRDefault="00637EA9">
            <w:pPr>
              <w:spacing w:after="0" w:line="240" w:lineRule="auto"/>
            </w:pP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9"/>
              <w:gridCol w:w="1975"/>
              <w:gridCol w:w="1285"/>
              <w:gridCol w:w="3969"/>
              <w:gridCol w:w="284"/>
            </w:tblGrid>
            <w:tr w:rsidR="00991B02" w14:paraId="314A296A" w14:textId="77777777" w:rsidTr="4A812E2E">
              <w:tc>
                <w:tcPr>
                  <w:tcW w:w="1769" w:type="dxa"/>
                  <w:hideMark/>
                </w:tcPr>
                <w:p w14:paraId="32A574F4" w14:textId="135E0477" w:rsidR="00991B02" w:rsidRDefault="00991B02" w:rsidP="00991B02">
                  <w:pPr>
                    <w:spacing w:after="0"/>
                  </w:pPr>
                  <w:r>
                    <w:t>IGI 1. tankör</w:t>
                  </w:r>
                </w:p>
              </w:tc>
              <w:tc>
                <w:tcPr>
                  <w:tcW w:w="1975" w:type="dxa"/>
                </w:tcPr>
                <w:p w14:paraId="10848305" w14:textId="6B8F2AB7" w:rsidR="00991B02" w:rsidRDefault="00FD1C71" w:rsidP="00991B02">
                  <w:pPr>
                    <w:spacing w:after="0"/>
                  </w:pPr>
                  <w:r>
                    <w:t>hétfő</w:t>
                  </w:r>
                  <w:r w:rsidR="009F5B5B">
                    <w:t xml:space="preserve"> 12:00-14</w:t>
                  </w:r>
                  <w:r w:rsidR="00991B02">
                    <w:t>:00</w:t>
                  </w:r>
                </w:p>
              </w:tc>
              <w:tc>
                <w:tcPr>
                  <w:tcW w:w="1285" w:type="dxa"/>
                </w:tcPr>
                <w:p w14:paraId="46A32125" w14:textId="4409FD31" w:rsidR="00991B02" w:rsidRDefault="00991B02" w:rsidP="009F5B5B">
                  <w:pPr>
                    <w:spacing w:after="0"/>
                  </w:pPr>
                  <w:r>
                    <w:t>A/</w:t>
                  </w:r>
                  <w:r w:rsidR="009F5B5B">
                    <w:t>6</w:t>
                  </w:r>
                  <w:r>
                    <w:t>.</w:t>
                  </w:r>
                  <w:r w:rsidR="009F5B5B">
                    <w:t>fsz.</w:t>
                  </w:r>
                  <w:r w:rsidR="3FAACF18">
                    <w:t>31</w:t>
                  </w:r>
                  <w:r w:rsidR="009F5B5B">
                    <w:t xml:space="preserve"> </w:t>
                  </w:r>
                </w:p>
              </w:tc>
              <w:tc>
                <w:tcPr>
                  <w:tcW w:w="4253" w:type="dxa"/>
                  <w:gridSpan w:val="2"/>
                  <w:hideMark/>
                </w:tcPr>
                <w:p w14:paraId="7B3B6978" w14:textId="480097F7" w:rsidR="00991B02" w:rsidRDefault="6616F3AA" w:rsidP="00991B02">
                  <w:pPr>
                    <w:spacing w:after="0"/>
                  </w:pPr>
                  <w:r>
                    <w:t>dr. Stefán Ibolya</w:t>
                  </w:r>
                </w:p>
              </w:tc>
            </w:tr>
            <w:tr w:rsidR="00CC4B94" w14:paraId="228417E8" w14:textId="0BC22ECF" w:rsidTr="4A812E2E">
              <w:trPr>
                <w:gridAfter w:val="1"/>
                <w:wAfter w:w="284" w:type="dxa"/>
                <w:trHeight w:val="232"/>
              </w:trPr>
              <w:tc>
                <w:tcPr>
                  <w:tcW w:w="1769" w:type="dxa"/>
                  <w:hideMark/>
                </w:tcPr>
                <w:p w14:paraId="5F6BA8E2" w14:textId="1FF63B99" w:rsidR="00CC4B94" w:rsidRDefault="00CC4B94" w:rsidP="00CC4B94">
                  <w:pPr>
                    <w:spacing w:after="0"/>
                  </w:pPr>
                  <w:r>
                    <w:t>IGI 2. tankör</w:t>
                  </w:r>
                </w:p>
              </w:tc>
              <w:tc>
                <w:tcPr>
                  <w:tcW w:w="1975" w:type="dxa"/>
                </w:tcPr>
                <w:p w14:paraId="403AD8BE" w14:textId="7211F72E" w:rsidR="00CC4B94" w:rsidRDefault="009F5B5B" w:rsidP="009F5B5B">
                  <w:pPr>
                    <w:spacing w:after="0"/>
                  </w:pPr>
                  <w:r>
                    <w:t>kedd</w:t>
                  </w:r>
                  <w:r w:rsidR="00991B02">
                    <w:t xml:space="preserve"> </w:t>
                  </w:r>
                  <w:r>
                    <w:t>8</w:t>
                  </w:r>
                  <w:r w:rsidR="00991B02">
                    <w:t>:00-1</w:t>
                  </w:r>
                  <w:r>
                    <w:t>0</w:t>
                  </w:r>
                  <w:r w:rsidR="00991B02">
                    <w:t>:00</w:t>
                  </w:r>
                </w:p>
              </w:tc>
              <w:tc>
                <w:tcPr>
                  <w:tcW w:w="1285" w:type="dxa"/>
                </w:tcPr>
                <w:p w14:paraId="2C99C76B" w14:textId="75C9C2E5" w:rsidR="00CC4B94" w:rsidRDefault="00991B02" w:rsidP="009F5B5B">
                  <w:pPr>
                    <w:spacing w:after="0"/>
                  </w:pPr>
                  <w:r>
                    <w:t>A</w:t>
                  </w:r>
                  <w:r w:rsidR="009F5B5B">
                    <w:t>/6</w:t>
                  </w:r>
                  <w:r>
                    <w:t xml:space="preserve">. </w:t>
                  </w:r>
                  <w:r w:rsidR="009F5B5B">
                    <w:t>131</w:t>
                  </w:r>
                  <w:r>
                    <w:t>.</w:t>
                  </w:r>
                </w:p>
              </w:tc>
              <w:tc>
                <w:tcPr>
                  <w:tcW w:w="3969" w:type="dxa"/>
                </w:tcPr>
                <w:p w14:paraId="338A7EA3" w14:textId="16B81C05" w:rsidR="00CC4B94" w:rsidRDefault="00C32894" w:rsidP="00CC4B94">
                  <w:pPr>
                    <w:spacing w:after="0"/>
                  </w:pPr>
                  <w:r>
                    <w:t>d</w:t>
                  </w:r>
                  <w:r w:rsidR="00991B02">
                    <w:t xml:space="preserve">r. </w:t>
                  </w:r>
                  <w:r w:rsidR="00FD1C71">
                    <w:t>Tóth Gergő József</w:t>
                  </w:r>
                </w:p>
              </w:tc>
            </w:tr>
            <w:tr w:rsidR="00C32894" w14:paraId="3B293696" w14:textId="77777777" w:rsidTr="4A812E2E">
              <w:trPr>
                <w:gridAfter w:val="1"/>
                <w:wAfter w:w="284" w:type="dxa"/>
              </w:trPr>
              <w:tc>
                <w:tcPr>
                  <w:tcW w:w="1769" w:type="dxa"/>
                </w:tcPr>
                <w:p w14:paraId="6892A942" w14:textId="44C807BA" w:rsidR="00C32894" w:rsidRDefault="00C32894" w:rsidP="00CC4B94">
                  <w:pPr>
                    <w:spacing w:after="0"/>
                  </w:pPr>
                  <w:r>
                    <w:t>IGI 3. tankör</w:t>
                  </w:r>
                </w:p>
              </w:tc>
              <w:tc>
                <w:tcPr>
                  <w:tcW w:w="1975" w:type="dxa"/>
                </w:tcPr>
                <w:p w14:paraId="5D743073" w14:textId="2685200A" w:rsidR="00C32894" w:rsidRDefault="00C32894" w:rsidP="009F5B5B">
                  <w:pPr>
                    <w:spacing w:after="0"/>
                  </w:pPr>
                  <w:r>
                    <w:t>kedd 10:00-12:00</w:t>
                  </w:r>
                </w:p>
              </w:tc>
              <w:tc>
                <w:tcPr>
                  <w:tcW w:w="1285" w:type="dxa"/>
                </w:tcPr>
                <w:p w14:paraId="4D73A60F" w14:textId="02A01595" w:rsidR="00C32894" w:rsidRDefault="00C32894" w:rsidP="009F5B5B">
                  <w:pPr>
                    <w:spacing w:after="0"/>
                  </w:pPr>
                  <w:r>
                    <w:t xml:space="preserve">A/1. 316. </w:t>
                  </w:r>
                </w:p>
              </w:tc>
              <w:tc>
                <w:tcPr>
                  <w:tcW w:w="3969" w:type="dxa"/>
                </w:tcPr>
                <w:p w14:paraId="68B67812" w14:textId="7286AAD9" w:rsidR="00C32894" w:rsidRDefault="00C32894" w:rsidP="00991B02">
                  <w:pPr>
                    <w:spacing w:after="0"/>
                  </w:pPr>
                  <w:r>
                    <w:t>dr. Stefán Ibolya</w:t>
                  </w:r>
                </w:p>
              </w:tc>
            </w:tr>
          </w:tbl>
          <w:p w14:paraId="75012E8D" w14:textId="4963D69A" w:rsidR="00637EA9" w:rsidRDefault="00637EA9">
            <w:pPr>
              <w:spacing w:after="0" w:line="240" w:lineRule="auto"/>
            </w:pPr>
          </w:p>
          <w:p w14:paraId="162CA3B2" w14:textId="7FF8B8DF" w:rsidR="00637EA9" w:rsidRDefault="00637EA9">
            <w:pPr>
              <w:spacing w:after="0" w:line="240" w:lineRule="auto"/>
              <w:rPr>
                <w:u w:val="single"/>
              </w:rPr>
            </w:pPr>
            <w:r w:rsidRPr="00637EA9">
              <w:rPr>
                <w:u w:val="single"/>
              </w:rPr>
              <w:t>Levelező tagozat:</w:t>
            </w:r>
          </w:p>
          <w:p w14:paraId="03D946E4" w14:textId="62D4C3B8" w:rsidR="00991B02" w:rsidRDefault="00991B02">
            <w:pPr>
              <w:spacing w:after="0" w:line="240" w:lineRule="auto"/>
              <w:rPr>
                <w:u w:val="single"/>
              </w:rPr>
            </w:pP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85"/>
              <w:gridCol w:w="1559"/>
              <w:gridCol w:w="1285"/>
              <w:gridCol w:w="4253"/>
            </w:tblGrid>
            <w:tr w:rsidR="00991B02" w14:paraId="1B87E6B9" w14:textId="77777777" w:rsidTr="00991B02">
              <w:tc>
                <w:tcPr>
                  <w:tcW w:w="2185" w:type="dxa"/>
                  <w:hideMark/>
                </w:tcPr>
                <w:p w14:paraId="2799ABEE" w14:textId="007369A1" w:rsidR="00991B02" w:rsidRDefault="00991B02" w:rsidP="009F5B5B">
                  <w:pPr>
                    <w:spacing w:after="0"/>
                  </w:pPr>
                  <w:r>
                    <w:t>202</w:t>
                  </w:r>
                  <w:r w:rsidR="00C32894">
                    <w:t>6</w:t>
                  </w:r>
                  <w:r w:rsidR="009F5B5B">
                    <w:t>. I</w:t>
                  </w:r>
                  <w:r w:rsidR="00C32894">
                    <w:t>V</w:t>
                  </w:r>
                  <w:r>
                    <w:t xml:space="preserve">. </w:t>
                  </w:r>
                  <w:r w:rsidR="00C32894">
                    <w:t>17</w:t>
                  </w:r>
                  <w:r>
                    <w:t xml:space="preserve">. </w:t>
                  </w:r>
                  <w:r w:rsidR="009F5B5B">
                    <w:t>(</w:t>
                  </w:r>
                  <w:r w:rsidR="00EC39E6">
                    <w:t>péntek</w:t>
                  </w:r>
                  <w:r w:rsidR="009F5B5B">
                    <w:t>)</w:t>
                  </w:r>
                </w:p>
              </w:tc>
              <w:tc>
                <w:tcPr>
                  <w:tcW w:w="1559" w:type="dxa"/>
                </w:tcPr>
                <w:p w14:paraId="4D659E5B" w14:textId="0ABCA017" w:rsidR="00991B02" w:rsidRDefault="00C32894" w:rsidP="00991B02">
                  <w:pPr>
                    <w:spacing w:after="0"/>
                  </w:pPr>
                  <w:r w:rsidRPr="00C32894">
                    <w:t>17.00 - 18.40</w:t>
                  </w:r>
                </w:p>
              </w:tc>
              <w:tc>
                <w:tcPr>
                  <w:tcW w:w="1285" w:type="dxa"/>
                </w:tcPr>
                <w:p w14:paraId="4E78DB2E" w14:textId="0489F853" w:rsidR="00991B02" w:rsidRDefault="009F5B5B" w:rsidP="00991B02">
                  <w:pPr>
                    <w:spacing w:after="0"/>
                  </w:pPr>
                  <w:r>
                    <w:t>online</w:t>
                  </w:r>
                </w:p>
              </w:tc>
              <w:tc>
                <w:tcPr>
                  <w:tcW w:w="4253" w:type="dxa"/>
                  <w:hideMark/>
                </w:tcPr>
                <w:p w14:paraId="0D7D508D" w14:textId="55DD88EA" w:rsidR="00991B02" w:rsidRDefault="00991B02" w:rsidP="00991B02">
                  <w:pPr>
                    <w:spacing w:after="0"/>
                  </w:pPr>
                  <w:r>
                    <w:t>Dr. Udvarhelyiné Dr. Sápi Edit</w:t>
                  </w:r>
                </w:p>
              </w:tc>
            </w:tr>
          </w:tbl>
          <w:p w14:paraId="10BE4DAA" w14:textId="6B30EC9F" w:rsidR="00637EA9" w:rsidRPr="00E06C8D" w:rsidRDefault="00637EA9" w:rsidP="00637EA9">
            <w:pPr>
              <w:spacing w:after="0" w:line="240" w:lineRule="auto"/>
            </w:pPr>
          </w:p>
          <w:p w14:paraId="6989836F" w14:textId="10943923" w:rsidR="00AD0411" w:rsidRPr="001D2A3D" w:rsidRDefault="007537A1">
            <w:pPr>
              <w:spacing w:after="0" w:line="240" w:lineRule="auto"/>
            </w:pPr>
            <w:r>
              <w:t xml:space="preserve"> </w:t>
            </w:r>
          </w:p>
        </w:tc>
      </w:tr>
      <w:tr w:rsidR="00CD0200" w:rsidRPr="001D2A3D" w14:paraId="72888548" w14:textId="77777777" w:rsidTr="4A812E2E">
        <w:tc>
          <w:tcPr>
            <w:tcW w:w="9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C183" w14:textId="77777777" w:rsidR="007005F0" w:rsidRPr="001D2A3D" w:rsidRDefault="007005F0" w:rsidP="00D1033B">
            <w:pPr>
              <w:pStyle w:val="NormlWeb"/>
              <w:numPr>
                <w:ilvl w:val="0"/>
                <w:numId w:val="4"/>
              </w:numPr>
              <w:shd w:val="clear" w:color="auto" w:fill="FFFFFF"/>
              <w:spacing w:before="120" w:beforeAutospacing="0" w:after="0" w:afterAutospacing="0"/>
              <w:ind w:left="748" w:hanging="391"/>
              <w:jc w:val="both"/>
              <w:rPr>
                <w:color w:val="000000" w:themeColor="text1"/>
                <w:sz w:val="22"/>
                <w:szCs w:val="22"/>
              </w:rPr>
            </w:pPr>
            <w:r w:rsidRPr="001D2A3D">
              <w:rPr>
                <w:color w:val="000000" w:themeColor="text1"/>
                <w:sz w:val="22"/>
                <w:szCs w:val="22"/>
              </w:rPr>
              <w:t>A kötelem fogalma, helye a jogrendszerben. Kötelem-keletkeztető jogi tények köre. A jognyilatkozatok. A képviselet szabályai. A kötelmi jogviszony alanyai. Többalanyú kötelmek.</w:t>
            </w:r>
          </w:p>
          <w:p w14:paraId="7D3B9248" w14:textId="77777777" w:rsidR="007005F0" w:rsidRPr="001D2A3D" w:rsidRDefault="007005F0" w:rsidP="007537A1">
            <w:pPr>
              <w:pStyle w:val="NormlWeb"/>
              <w:numPr>
                <w:ilvl w:val="0"/>
                <w:numId w:val="4"/>
              </w:num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1D2A3D">
              <w:rPr>
                <w:color w:val="000000" w:themeColor="text1"/>
                <w:sz w:val="22"/>
                <w:szCs w:val="22"/>
              </w:rPr>
              <w:t>A kötelem tárgya és tartalma, a szolgáltatás. A kötelem teljesítése. A pénztartozás teljesítése. Beszámítás. Csonka kötelmek. Tartozáselismerés. Egyezség. A kötelem megszűnése. Az elévülés.</w:t>
            </w:r>
          </w:p>
          <w:p w14:paraId="7167D03C" w14:textId="77777777" w:rsidR="007005F0" w:rsidRPr="001D2A3D" w:rsidRDefault="007005F0" w:rsidP="007537A1">
            <w:pPr>
              <w:pStyle w:val="NormlWeb"/>
              <w:numPr>
                <w:ilvl w:val="0"/>
                <w:numId w:val="4"/>
              </w:num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1D2A3D">
              <w:rPr>
                <w:color w:val="000000" w:themeColor="text1"/>
                <w:sz w:val="22"/>
                <w:szCs w:val="22"/>
              </w:rPr>
              <w:lastRenderedPageBreak/>
              <w:t xml:space="preserve">A szerződéstan általános kérdései. A szerződési alapelvek. A szerződések osztályozása, elemei és </w:t>
            </w:r>
            <w:proofErr w:type="spellStart"/>
            <w:r w:rsidRPr="001D2A3D">
              <w:rPr>
                <w:color w:val="000000" w:themeColor="text1"/>
                <w:sz w:val="22"/>
                <w:szCs w:val="22"/>
              </w:rPr>
              <w:t>létszakai</w:t>
            </w:r>
            <w:proofErr w:type="spellEnd"/>
            <w:r w:rsidRPr="001D2A3D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14:paraId="36AC8635" w14:textId="77777777" w:rsidR="007005F0" w:rsidRPr="001D2A3D" w:rsidRDefault="007005F0" w:rsidP="007537A1">
            <w:pPr>
              <w:pStyle w:val="NormlWeb"/>
              <w:numPr>
                <w:ilvl w:val="0"/>
                <w:numId w:val="4"/>
              </w:num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1D2A3D">
              <w:rPr>
                <w:color w:val="000000" w:themeColor="text1"/>
                <w:sz w:val="22"/>
                <w:szCs w:val="22"/>
              </w:rPr>
              <w:t>A szerződés alanya, tárgya. A szolgáltatás-ellenszolgáltatás kérdése. A szolgáltatás fajai</w:t>
            </w:r>
          </w:p>
          <w:p w14:paraId="13A57533" w14:textId="77777777" w:rsidR="007005F0" w:rsidRPr="001D2A3D" w:rsidRDefault="007005F0" w:rsidP="007537A1">
            <w:pPr>
              <w:pStyle w:val="NormlWeb"/>
              <w:numPr>
                <w:ilvl w:val="0"/>
                <w:numId w:val="4"/>
              </w:num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1D2A3D">
              <w:rPr>
                <w:color w:val="000000" w:themeColor="text1"/>
                <w:sz w:val="22"/>
                <w:szCs w:val="22"/>
              </w:rPr>
              <w:t>A szerződés létrehozatalának folyamatai. Előszerződés. Szerződéskötés általános szerződési feltételekkel. A szerződés értelmezése. A szerződés megerősítése, módosítása és megszüntetése.</w:t>
            </w:r>
          </w:p>
          <w:p w14:paraId="4D8DE61D" w14:textId="77777777" w:rsidR="007005F0" w:rsidRPr="001D2A3D" w:rsidRDefault="007005F0" w:rsidP="007537A1">
            <w:pPr>
              <w:pStyle w:val="NormlWeb"/>
              <w:numPr>
                <w:ilvl w:val="0"/>
                <w:numId w:val="4"/>
              </w:num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1D2A3D">
              <w:rPr>
                <w:color w:val="000000" w:themeColor="text1"/>
                <w:sz w:val="22"/>
                <w:szCs w:val="22"/>
              </w:rPr>
              <w:t>A szerződés érvénytelensége és hatálytalansága. A részleges érvénytelenség. Semmisség és megtámadhatóság. Jogkövetkezmények.</w:t>
            </w:r>
          </w:p>
          <w:p w14:paraId="57C1D667" w14:textId="77777777" w:rsidR="007005F0" w:rsidRPr="001D2A3D" w:rsidRDefault="007005F0" w:rsidP="007537A1">
            <w:pPr>
              <w:pStyle w:val="NormlWeb"/>
              <w:numPr>
                <w:ilvl w:val="0"/>
                <w:numId w:val="4"/>
              </w:num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1D2A3D">
              <w:rPr>
                <w:color w:val="000000" w:themeColor="text1"/>
                <w:sz w:val="22"/>
                <w:szCs w:val="22"/>
              </w:rPr>
              <w:t xml:space="preserve">A szerződés teljesítése. A teljesítés különös esetei. </w:t>
            </w:r>
          </w:p>
          <w:p w14:paraId="424B0E86" w14:textId="77777777" w:rsidR="007005F0" w:rsidRPr="001D2A3D" w:rsidRDefault="007005F0" w:rsidP="007537A1">
            <w:pPr>
              <w:pStyle w:val="NormlWeb"/>
              <w:numPr>
                <w:ilvl w:val="0"/>
                <w:numId w:val="4"/>
              </w:num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1D2A3D">
              <w:rPr>
                <w:color w:val="000000" w:themeColor="text1"/>
                <w:sz w:val="22"/>
                <w:szCs w:val="22"/>
              </w:rPr>
              <w:t xml:space="preserve">A szerződésszegés fajtái és jogkövetkezményei. Felelősség a szerződések megszegése körében és szerződésen kívül. </w:t>
            </w:r>
          </w:p>
          <w:p w14:paraId="5479141A" w14:textId="051AB76A" w:rsidR="007005F0" w:rsidRPr="001D2A3D" w:rsidRDefault="003F506C" w:rsidP="007537A1">
            <w:pPr>
              <w:pStyle w:val="NormlWeb"/>
              <w:numPr>
                <w:ilvl w:val="0"/>
                <w:numId w:val="4"/>
              </w:num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D2A3D">
              <w:rPr>
                <w:color w:val="000000" w:themeColor="text1"/>
                <w:sz w:val="22"/>
                <w:szCs w:val="22"/>
              </w:rPr>
              <w:t>Kontraktuális</w:t>
            </w:r>
            <w:proofErr w:type="spellEnd"/>
            <w:r w:rsidRPr="001D2A3D">
              <w:rPr>
                <w:color w:val="000000" w:themeColor="text1"/>
                <w:sz w:val="22"/>
                <w:szCs w:val="22"/>
              </w:rPr>
              <w:t xml:space="preserve"> és</w:t>
            </w:r>
            <w:r w:rsidR="007005F0" w:rsidRPr="001D2A3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005F0" w:rsidRPr="001D2A3D">
              <w:rPr>
                <w:color w:val="000000" w:themeColor="text1"/>
                <w:sz w:val="22"/>
                <w:szCs w:val="22"/>
              </w:rPr>
              <w:t>deliktuális</w:t>
            </w:r>
            <w:proofErr w:type="spellEnd"/>
            <w:r w:rsidR="007005F0" w:rsidRPr="001D2A3D">
              <w:rPr>
                <w:color w:val="000000" w:themeColor="text1"/>
                <w:sz w:val="22"/>
                <w:szCs w:val="22"/>
              </w:rPr>
              <w:t xml:space="preserve"> felelősség. A kártérítési felelősség általános szabálya és közös szabályai. A kár megtérítésére vonatkozó szabályok.</w:t>
            </w:r>
          </w:p>
          <w:p w14:paraId="44051917" w14:textId="77777777" w:rsidR="007005F0" w:rsidRPr="001D2A3D" w:rsidRDefault="007005F0" w:rsidP="007537A1">
            <w:pPr>
              <w:pStyle w:val="NormlWeb"/>
              <w:numPr>
                <w:ilvl w:val="0"/>
                <w:numId w:val="4"/>
              </w:num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1D2A3D">
              <w:rPr>
                <w:color w:val="000000" w:themeColor="text1"/>
                <w:sz w:val="22"/>
                <w:szCs w:val="22"/>
              </w:rPr>
              <w:t>Speciális felelősségi alakzatok</w:t>
            </w:r>
          </w:p>
          <w:p w14:paraId="12A05390" w14:textId="77777777" w:rsidR="007005F0" w:rsidRPr="001D2A3D" w:rsidRDefault="007005F0" w:rsidP="007537A1">
            <w:pPr>
              <w:pStyle w:val="NormlWeb"/>
              <w:numPr>
                <w:ilvl w:val="0"/>
                <w:numId w:val="4"/>
              </w:num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1D2A3D">
              <w:rPr>
                <w:color w:val="000000" w:themeColor="text1"/>
                <w:sz w:val="22"/>
                <w:szCs w:val="22"/>
              </w:rPr>
              <w:t>A szerződési alaptípusok tagolása a szolgáltatást nyújtó kötelezett magatartása szerint (</w:t>
            </w:r>
            <w:proofErr w:type="spellStart"/>
            <w:r w:rsidRPr="001D2A3D">
              <w:rPr>
                <w:color w:val="000000" w:themeColor="text1"/>
                <w:sz w:val="22"/>
                <w:szCs w:val="22"/>
              </w:rPr>
              <w:t>Dare</w:t>
            </w:r>
            <w:proofErr w:type="spellEnd"/>
            <w:r w:rsidRPr="001D2A3D">
              <w:rPr>
                <w:color w:val="000000" w:themeColor="text1"/>
                <w:sz w:val="22"/>
                <w:szCs w:val="22"/>
              </w:rPr>
              <w:t xml:space="preserve">, non </w:t>
            </w:r>
            <w:proofErr w:type="spellStart"/>
            <w:r w:rsidRPr="001D2A3D">
              <w:rPr>
                <w:color w:val="000000" w:themeColor="text1"/>
                <w:sz w:val="22"/>
                <w:szCs w:val="22"/>
              </w:rPr>
              <w:t>facere</w:t>
            </w:r>
            <w:proofErr w:type="spellEnd"/>
            <w:r w:rsidRPr="001D2A3D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D2A3D">
              <w:rPr>
                <w:color w:val="000000" w:themeColor="text1"/>
                <w:sz w:val="22"/>
                <w:szCs w:val="22"/>
              </w:rPr>
              <w:t>facere</w:t>
            </w:r>
            <w:proofErr w:type="spellEnd"/>
            <w:r w:rsidRPr="001D2A3D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D2A3D">
              <w:rPr>
                <w:color w:val="000000" w:themeColor="text1"/>
                <w:sz w:val="22"/>
                <w:szCs w:val="22"/>
              </w:rPr>
              <w:t>praestare</w:t>
            </w:r>
            <w:proofErr w:type="spellEnd"/>
            <w:r w:rsidRPr="001D2A3D">
              <w:rPr>
                <w:color w:val="000000" w:themeColor="text1"/>
                <w:sz w:val="22"/>
                <w:szCs w:val="22"/>
              </w:rPr>
              <w:t xml:space="preserve">). </w:t>
            </w:r>
          </w:p>
          <w:p w14:paraId="2BB26460" w14:textId="77777777" w:rsidR="007005F0" w:rsidRPr="001D2A3D" w:rsidRDefault="007005F0" w:rsidP="007537A1">
            <w:pPr>
              <w:pStyle w:val="NormlWeb"/>
              <w:numPr>
                <w:ilvl w:val="0"/>
                <w:numId w:val="4"/>
              </w:num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1D2A3D">
              <w:rPr>
                <w:color w:val="000000" w:themeColor="text1"/>
                <w:sz w:val="22"/>
                <w:szCs w:val="22"/>
              </w:rPr>
              <w:t>Az adásvételi szerződés. Ajándékozási szerződés.</w:t>
            </w:r>
          </w:p>
          <w:p w14:paraId="75C17F07" w14:textId="77777777" w:rsidR="007005F0" w:rsidRPr="001D2A3D" w:rsidRDefault="007005F0" w:rsidP="007537A1">
            <w:pPr>
              <w:pStyle w:val="NormlWeb"/>
              <w:numPr>
                <w:ilvl w:val="0"/>
                <w:numId w:val="4"/>
              </w:numPr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1D2A3D">
              <w:rPr>
                <w:color w:val="000000" w:themeColor="text1"/>
                <w:sz w:val="22"/>
                <w:szCs w:val="22"/>
              </w:rPr>
              <w:t>Használati szerződések.</w:t>
            </w:r>
          </w:p>
          <w:p w14:paraId="2A0DE7F6" w14:textId="2160B6ED" w:rsidR="00185CBE" w:rsidRPr="001D2A3D" w:rsidRDefault="007005F0" w:rsidP="00AE2ADC">
            <w:pPr>
              <w:pStyle w:val="NormlWeb"/>
              <w:numPr>
                <w:ilvl w:val="0"/>
                <w:numId w:val="4"/>
              </w:numPr>
              <w:shd w:val="clear" w:color="auto" w:fill="FFFFFF"/>
              <w:spacing w:before="0" w:beforeAutospacing="0" w:after="120" w:afterAutospacing="0"/>
              <w:ind w:left="748" w:hanging="391"/>
              <w:jc w:val="both"/>
              <w:rPr>
                <w:color w:val="000000" w:themeColor="text1"/>
                <w:sz w:val="22"/>
                <w:szCs w:val="22"/>
              </w:rPr>
            </w:pPr>
            <w:r w:rsidRPr="001D2A3D">
              <w:rPr>
                <w:color w:val="000000" w:themeColor="text1"/>
                <w:sz w:val="22"/>
                <w:szCs w:val="22"/>
              </w:rPr>
              <w:t>Az eredménykötelmek és gondossági kötelmek sajátosságai. A vállalkozás, fuvarozás.</w:t>
            </w:r>
            <w:r w:rsidR="007537A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D2A3D">
              <w:rPr>
                <w:color w:val="000000" w:themeColor="text1"/>
                <w:sz w:val="22"/>
                <w:szCs w:val="22"/>
              </w:rPr>
              <w:t xml:space="preserve">A megbízási szerződés. Speciális megbízások. A letét. A tartási szerződés. A </w:t>
            </w:r>
            <w:proofErr w:type="spellStart"/>
            <w:r w:rsidRPr="001D2A3D">
              <w:rPr>
                <w:color w:val="000000" w:themeColor="text1"/>
                <w:sz w:val="22"/>
                <w:szCs w:val="22"/>
              </w:rPr>
              <w:t>praestare</w:t>
            </w:r>
            <w:proofErr w:type="spellEnd"/>
            <w:r w:rsidRPr="001D2A3D">
              <w:rPr>
                <w:color w:val="000000" w:themeColor="text1"/>
                <w:sz w:val="22"/>
                <w:szCs w:val="22"/>
              </w:rPr>
              <w:t xml:space="preserve"> szerződések (a hitelszerződések és a biztosítás) alapvonásai.</w:t>
            </w:r>
          </w:p>
        </w:tc>
      </w:tr>
      <w:tr w:rsidR="0010535D" w:rsidRPr="001D2A3D" w14:paraId="7DC3EFD9" w14:textId="77777777" w:rsidTr="4A812E2E">
        <w:tc>
          <w:tcPr>
            <w:tcW w:w="9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52029" w14:textId="51651D1D" w:rsidR="007537A1" w:rsidRPr="00891478" w:rsidRDefault="007537A1" w:rsidP="00891478">
            <w:pPr>
              <w:spacing w:before="120" w:line="240" w:lineRule="auto"/>
              <w:rPr>
                <w:b/>
              </w:rPr>
            </w:pPr>
            <w:r w:rsidRPr="007537A1">
              <w:rPr>
                <w:b/>
              </w:rPr>
              <w:lastRenderedPageBreak/>
              <w:t xml:space="preserve">Félévközi számonkérés módja és értékelése, kollokvium teljesítésének módja: </w:t>
            </w:r>
          </w:p>
          <w:p w14:paraId="175FC133" w14:textId="5FF719D6" w:rsidR="007537A1" w:rsidRDefault="007537A1" w:rsidP="003F506C">
            <w:pPr>
              <w:spacing w:after="0" w:line="240" w:lineRule="auto"/>
            </w:pPr>
            <w:r>
              <w:t>A gyakorlati foglalkozásokon való részvétel az aláírás megszerzésének feltétele, a</w:t>
            </w:r>
            <w:r w:rsidRPr="001D2A3D">
              <w:t>melyet a tanszék rendszeresen ellenőriz</w:t>
            </w:r>
            <w:r>
              <w:t xml:space="preserve">. </w:t>
            </w:r>
            <w:r w:rsidRPr="007537A1">
              <w:rPr>
                <w:b/>
              </w:rPr>
              <w:t>Nappali tagozaton kettőnél több hiányzás az aláírás megtagadását vonja maga után.</w:t>
            </w:r>
            <w:r>
              <w:t xml:space="preserve"> Amennyiben a hallgató ezt meghaladja, az aláírás pótlására a teljes félévi tananyagból, a szorgalmi időszak utolsó hetében, írásbeli beszámoló útján van lehetőség. Sikertelen (60 %-ot el nem érő) vagy elmulasztott beszámoló az aláírás megtagadását vonja maga után.  </w:t>
            </w:r>
          </w:p>
          <w:p w14:paraId="5384E833" w14:textId="77777777" w:rsidR="007537A1" w:rsidRPr="007537A1" w:rsidRDefault="007537A1" w:rsidP="00891478">
            <w:pPr>
              <w:spacing w:before="120" w:line="240" w:lineRule="auto"/>
              <w:rPr>
                <w:b/>
              </w:rPr>
            </w:pPr>
            <w:r w:rsidRPr="007537A1">
              <w:rPr>
                <w:b/>
              </w:rPr>
              <w:t xml:space="preserve">Gyakorlati jegy teljesítésének módja, értékelése: </w:t>
            </w:r>
          </w:p>
          <w:p w14:paraId="285F7527" w14:textId="6F73CFD5" w:rsidR="00AC4FE4" w:rsidRDefault="007537A1" w:rsidP="00AC4FE4">
            <w:pPr>
              <w:spacing w:after="0" w:line="240" w:lineRule="auto"/>
            </w:pPr>
            <w:r>
              <w:t xml:space="preserve">A félév során </w:t>
            </w:r>
            <w:r w:rsidRPr="00AC4FE4">
              <w:rPr>
                <w:b/>
              </w:rPr>
              <w:t>nappali tagozaton 2 zárthelyi dolgozat megírása kötelező</w:t>
            </w:r>
            <w:r>
              <w:t xml:space="preserve">, </w:t>
            </w:r>
            <w:r w:rsidR="00AC4FE4">
              <w:t xml:space="preserve">amelyre a </w:t>
            </w:r>
            <w:r w:rsidR="00AC4FE4" w:rsidRPr="004240F0">
              <w:rPr>
                <w:b/>
              </w:rPr>
              <w:t xml:space="preserve">12. és </w:t>
            </w:r>
            <w:r w:rsidR="00D306FB">
              <w:rPr>
                <w:b/>
              </w:rPr>
              <w:t>20</w:t>
            </w:r>
            <w:r w:rsidR="00AC4FE4" w:rsidRPr="004240F0">
              <w:rPr>
                <w:b/>
              </w:rPr>
              <w:t>. héten</w:t>
            </w:r>
            <w:r w:rsidR="00AC4FE4">
              <w:t xml:space="preserve"> kerül sor. Az egyes számonkérések anyagát az elhangzott előadások témakörei határozzák meg.</w:t>
            </w:r>
          </w:p>
          <w:p w14:paraId="3AC09B0B" w14:textId="711E12C9" w:rsidR="00AC4FE4" w:rsidRPr="001D2A3D" w:rsidRDefault="00AC4FE4" w:rsidP="00891478">
            <w:pPr>
              <w:spacing w:before="120" w:after="0" w:line="240" w:lineRule="auto"/>
            </w:pPr>
            <w:r>
              <w:t>A gyakorlat értékelése ötfokozatú.</w:t>
            </w:r>
          </w:p>
          <w:p w14:paraId="0A08CF10" w14:textId="77777777" w:rsidR="00AC4FE4" w:rsidRPr="001D2A3D" w:rsidRDefault="00AC4FE4" w:rsidP="00AC4FE4">
            <w:pPr>
              <w:spacing w:after="0" w:line="240" w:lineRule="auto"/>
            </w:pPr>
            <w:r w:rsidRPr="001D2A3D">
              <w:t>0-59% elégtelen</w:t>
            </w:r>
          </w:p>
          <w:p w14:paraId="0EFC5908" w14:textId="77777777" w:rsidR="00AC4FE4" w:rsidRPr="001D2A3D" w:rsidRDefault="00AC4FE4" w:rsidP="00AC4FE4">
            <w:pPr>
              <w:spacing w:after="0" w:line="240" w:lineRule="auto"/>
            </w:pPr>
            <w:r w:rsidRPr="001D2A3D">
              <w:t>60-69% elégséges</w:t>
            </w:r>
          </w:p>
          <w:p w14:paraId="01F02E93" w14:textId="77777777" w:rsidR="00AC4FE4" w:rsidRPr="001D2A3D" w:rsidRDefault="00AC4FE4" w:rsidP="00AC4FE4">
            <w:pPr>
              <w:spacing w:after="0" w:line="240" w:lineRule="auto"/>
            </w:pPr>
            <w:r w:rsidRPr="001D2A3D">
              <w:t>70-79% közepes</w:t>
            </w:r>
          </w:p>
          <w:p w14:paraId="76376663" w14:textId="77777777" w:rsidR="00AC4FE4" w:rsidRPr="001D2A3D" w:rsidRDefault="00AC4FE4" w:rsidP="00AC4FE4">
            <w:pPr>
              <w:spacing w:after="0" w:line="240" w:lineRule="auto"/>
            </w:pPr>
            <w:r w:rsidRPr="001D2A3D">
              <w:t>80-89% jó</w:t>
            </w:r>
          </w:p>
          <w:p w14:paraId="465FCB85" w14:textId="77777777" w:rsidR="00AC4FE4" w:rsidRDefault="00AC4FE4" w:rsidP="00AC4FE4">
            <w:pPr>
              <w:spacing w:after="0" w:line="240" w:lineRule="auto"/>
            </w:pPr>
            <w:r w:rsidRPr="001D2A3D">
              <w:t>90% felett jeles</w:t>
            </w:r>
          </w:p>
          <w:p w14:paraId="5D0401BF" w14:textId="12E3A45C" w:rsidR="00655261" w:rsidRPr="001D2A3D" w:rsidRDefault="007537A1" w:rsidP="00891478">
            <w:pPr>
              <w:spacing w:before="120" w:line="240" w:lineRule="auto"/>
            </w:pPr>
            <w:r>
              <w:t>Levelező tagozaton a gyakorlati foglalkozáson való jelenlét az aláírás feltétele. Az órarend szerinti gyakorlati órán zárthelyi dolgozat megírására kerül sor. A zárthelyi dolgozat legalább 60%-os teljesítése a feltétele az „elégséges (2)” minősítésnek, 70%-os a „közepes (3)” minősítésnek, 80%-os a „jó (4)” minősítésnek és a 90%-os teljesítményt elérő hallgató „jeles (5)” minősítést kap.</w:t>
            </w:r>
          </w:p>
        </w:tc>
      </w:tr>
      <w:tr w:rsidR="0010535D" w:rsidRPr="001D2A3D" w14:paraId="606C7C62" w14:textId="77777777" w:rsidTr="4A812E2E">
        <w:tc>
          <w:tcPr>
            <w:tcW w:w="9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D3C40" w14:textId="77777777" w:rsidR="00AD0411" w:rsidRPr="001D2A3D" w:rsidRDefault="00AD0411" w:rsidP="00F356EE">
            <w:pPr>
              <w:spacing w:before="120" w:line="240" w:lineRule="auto"/>
              <w:rPr>
                <w:b/>
                <w:color w:val="000000" w:themeColor="text1"/>
              </w:rPr>
            </w:pPr>
            <w:r w:rsidRPr="001D2A3D">
              <w:rPr>
                <w:b/>
                <w:color w:val="000000" w:themeColor="text1"/>
              </w:rPr>
              <w:t>Kötelező irodalom:</w:t>
            </w:r>
          </w:p>
          <w:p w14:paraId="27065689" w14:textId="77777777" w:rsidR="00743F40" w:rsidRDefault="00AD0411" w:rsidP="00F356EE">
            <w:pPr>
              <w:spacing w:after="0" w:line="240" w:lineRule="auto"/>
              <w:ind w:left="59"/>
              <w:rPr>
                <w:color w:val="000000"/>
              </w:rPr>
            </w:pPr>
            <w:r w:rsidRPr="001D2A3D">
              <w:rPr>
                <w:color w:val="000000"/>
              </w:rPr>
              <w:t>Kriston Edit – Sápi Edit – Tóth Gergő: Jogi alapismeretek</w:t>
            </w:r>
            <w:r w:rsidR="00743F40">
              <w:rPr>
                <w:color w:val="000000"/>
              </w:rPr>
              <w:t>,</w:t>
            </w:r>
            <w:r w:rsidR="001D2A3D" w:rsidRPr="001D2A3D">
              <w:rPr>
                <w:color w:val="000000"/>
              </w:rPr>
              <w:t xml:space="preserve"> </w:t>
            </w:r>
            <w:proofErr w:type="spellStart"/>
            <w:r w:rsidRPr="001D2A3D">
              <w:rPr>
                <w:color w:val="000000"/>
              </w:rPr>
              <w:t>Novotni</w:t>
            </w:r>
            <w:proofErr w:type="spellEnd"/>
            <w:r w:rsidRPr="001D2A3D">
              <w:rPr>
                <w:color w:val="000000"/>
              </w:rPr>
              <w:t xml:space="preserve"> Kiadó</w:t>
            </w:r>
            <w:r w:rsidR="00743F40">
              <w:rPr>
                <w:color w:val="000000"/>
              </w:rPr>
              <w:t>, Miskolc,</w:t>
            </w:r>
            <w:r w:rsidRPr="001D2A3D">
              <w:rPr>
                <w:color w:val="000000"/>
              </w:rPr>
              <w:t xml:space="preserve"> 2016</w:t>
            </w:r>
          </w:p>
          <w:p w14:paraId="12BD50F3" w14:textId="4142F523" w:rsidR="00AD0411" w:rsidRPr="001D2A3D" w:rsidRDefault="00743F40" w:rsidP="00F356EE">
            <w:pPr>
              <w:spacing w:after="0" w:line="240" w:lineRule="auto"/>
              <w:ind w:left="59"/>
              <w:rPr>
                <w:color w:val="000000"/>
              </w:rPr>
            </w:pPr>
            <w:r>
              <w:rPr>
                <w:color w:val="000000"/>
              </w:rPr>
              <w:t>Elérhető</w:t>
            </w:r>
            <w:r w:rsidR="00AD0411" w:rsidRPr="001D2A3D">
              <w:rPr>
                <w:color w:val="000000"/>
              </w:rPr>
              <w:t xml:space="preserve">: </w:t>
            </w:r>
            <w:hyperlink r:id="rId10" w:history="1">
              <w:r w:rsidRPr="00874B38">
                <w:rPr>
                  <w:rStyle w:val="Hiperhivatkozs"/>
                </w:rPr>
                <w:t>http://jogikar.uni-miskolc.hu/polgari_jogi_tanszek_tansegedletek</w:t>
              </w:r>
            </w:hyperlink>
            <w:r>
              <w:rPr>
                <w:color w:val="000000"/>
              </w:rPr>
              <w:t xml:space="preserve"> </w:t>
            </w:r>
          </w:p>
          <w:p w14:paraId="70901BF5" w14:textId="77777777" w:rsidR="00AD0411" w:rsidRPr="001D2A3D" w:rsidRDefault="00AD0411" w:rsidP="00F356EE">
            <w:pPr>
              <w:spacing w:before="120" w:line="240" w:lineRule="auto"/>
              <w:rPr>
                <w:b/>
                <w:color w:val="000000" w:themeColor="text1"/>
              </w:rPr>
            </w:pPr>
            <w:r w:rsidRPr="001D2A3D">
              <w:rPr>
                <w:b/>
                <w:color w:val="000000" w:themeColor="text1"/>
              </w:rPr>
              <w:t>Ajánlott irodalom:</w:t>
            </w:r>
          </w:p>
          <w:p w14:paraId="48EE38F5" w14:textId="77777777" w:rsidR="004240F0" w:rsidRPr="006B22F1" w:rsidRDefault="004240F0" w:rsidP="00F356EE">
            <w:pPr>
              <w:pStyle w:val="Listaszerbekezds"/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ind w:left="342" w:hanging="342"/>
              <w:textAlignment w:val="auto"/>
              <w:rPr>
                <w:iCs/>
                <w:color w:val="000000"/>
              </w:rPr>
            </w:pPr>
            <w:r w:rsidRPr="006B22F1">
              <w:rPr>
                <w:iCs/>
                <w:color w:val="000000"/>
              </w:rPr>
              <w:t>B</w:t>
            </w:r>
            <w:r>
              <w:rPr>
                <w:iCs/>
                <w:color w:val="000000"/>
              </w:rPr>
              <w:t xml:space="preserve">arta Judit – </w:t>
            </w:r>
            <w:r w:rsidRPr="006B22F1">
              <w:rPr>
                <w:iCs/>
                <w:color w:val="000000"/>
              </w:rPr>
              <w:t>Barzó Tímea</w:t>
            </w:r>
            <w:r>
              <w:rPr>
                <w:iCs/>
                <w:color w:val="000000"/>
              </w:rPr>
              <w:t xml:space="preserve"> – </w:t>
            </w:r>
            <w:r w:rsidRPr="006B22F1">
              <w:rPr>
                <w:iCs/>
                <w:color w:val="000000"/>
              </w:rPr>
              <w:t>Csák Csilla</w:t>
            </w:r>
            <w:r>
              <w:rPr>
                <w:iCs/>
                <w:color w:val="000000"/>
              </w:rPr>
              <w:t xml:space="preserve"> (szerk.</w:t>
            </w:r>
            <w:r w:rsidRPr="006B22F1">
              <w:rPr>
                <w:iCs/>
                <w:color w:val="000000"/>
              </w:rPr>
              <w:t>)</w:t>
            </w:r>
            <w:r>
              <w:rPr>
                <w:iCs/>
                <w:color w:val="000000"/>
              </w:rPr>
              <w:t xml:space="preserve">: </w:t>
            </w:r>
            <w:r w:rsidRPr="006B22F1">
              <w:rPr>
                <w:iCs/>
                <w:color w:val="000000"/>
              </w:rPr>
              <w:t>M</w:t>
            </w:r>
            <w:r>
              <w:rPr>
                <w:iCs/>
                <w:color w:val="000000"/>
              </w:rPr>
              <w:t xml:space="preserve">agyarázat a kártérítési joghoz, </w:t>
            </w:r>
            <w:proofErr w:type="spellStart"/>
            <w:r>
              <w:rPr>
                <w:iCs/>
                <w:color w:val="000000"/>
              </w:rPr>
              <w:t>Wolters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Kluwer</w:t>
            </w:r>
            <w:proofErr w:type="spellEnd"/>
            <w:r>
              <w:rPr>
                <w:iCs/>
                <w:color w:val="000000"/>
              </w:rPr>
              <w:t xml:space="preserve">, Budapest, </w:t>
            </w:r>
            <w:r w:rsidRPr="006B22F1">
              <w:rPr>
                <w:iCs/>
                <w:color w:val="000000"/>
              </w:rPr>
              <w:t>2018. megjelölt fejezetei</w:t>
            </w:r>
          </w:p>
          <w:p w14:paraId="760BF8A6" w14:textId="77777777" w:rsidR="004240F0" w:rsidRPr="006B22F1" w:rsidRDefault="004240F0" w:rsidP="00F356EE">
            <w:pPr>
              <w:pStyle w:val="Listaszerbekezds"/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ind w:left="342" w:hanging="342"/>
              <w:textAlignment w:val="auto"/>
              <w:rPr>
                <w:iCs/>
                <w:color w:val="000000"/>
              </w:rPr>
            </w:pPr>
            <w:proofErr w:type="spellStart"/>
            <w:r w:rsidRPr="006B22F1">
              <w:rPr>
                <w:iCs/>
                <w:color w:val="000000"/>
              </w:rPr>
              <w:t>Nochta</w:t>
            </w:r>
            <w:proofErr w:type="spellEnd"/>
            <w:r w:rsidRPr="006B22F1">
              <w:rPr>
                <w:iCs/>
                <w:color w:val="000000"/>
              </w:rPr>
              <w:t xml:space="preserve"> Tibor: Kártérítési </w:t>
            </w:r>
            <w:r>
              <w:rPr>
                <w:iCs/>
                <w:color w:val="000000"/>
              </w:rPr>
              <w:t>jog,</w:t>
            </w:r>
            <w:r w:rsidRPr="006B22F1">
              <w:rPr>
                <w:iCs/>
                <w:color w:val="000000"/>
              </w:rPr>
              <w:t xml:space="preserve"> Menedzser Praxis</w:t>
            </w:r>
            <w:r>
              <w:rPr>
                <w:iCs/>
                <w:color w:val="000000"/>
              </w:rPr>
              <w:t>, Budapest, 2016</w:t>
            </w:r>
          </w:p>
          <w:p w14:paraId="444EFCDA" w14:textId="77777777" w:rsidR="004240F0" w:rsidRPr="006B22F1" w:rsidRDefault="004240F0" w:rsidP="00F356EE">
            <w:pPr>
              <w:pStyle w:val="Listaszerbekezds"/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ind w:left="342" w:hanging="342"/>
              <w:textAlignment w:val="auto"/>
              <w:rPr>
                <w:iCs/>
                <w:color w:val="000000"/>
              </w:rPr>
            </w:pPr>
            <w:r w:rsidRPr="006B22F1">
              <w:rPr>
                <w:iCs/>
                <w:color w:val="000000"/>
              </w:rPr>
              <w:t>Sándor István (</w:t>
            </w:r>
            <w:r>
              <w:rPr>
                <w:iCs/>
                <w:color w:val="000000"/>
              </w:rPr>
              <w:t>szerk</w:t>
            </w:r>
            <w:r w:rsidRPr="006B22F1">
              <w:rPr>
                <w:iCs/>
                <w:color w:val="000000"/>
              </w:rPr>
              <w:t>.)</w:t>
            </w:r>
            <w:r>
              <w:rPr>
                <w:iCs/>
                <w:color w:val="000000"/>
              </w:rPr>
              <w:t>:</w:t>
            </w:r>
            <w:r w:rsidRPr="006B22F1">
              <w:rPr>
                <w:iCs/>
                <w:color w:val="000000"/>
              </w:rPr>
              <w:t xml:space="preserve"> Business Law in Hungary</w:t>
            </w:r>
            <w:r>
              <w:rPr>
                <w:iCs/>
                <w:color w:val="000000"/>
              </w:rPr>
              <w:t xml:space="preserve">, </w:t>
            </w:r>
            <w:proofErr w:type="spellStart"/>
            <w:r>
              <w:rPr>
                <w:iCs/>
                <w:color w:val="000000"/>
              </w:rPr>
              <w:t>Patrocínium</w:t>
            </w:r>
            <w:proofErr w:type="spellEnd"/>
            <w:r>
              <w:rPr>
                <w:iCs/>
                <w:color w:val="000000"/>
              </w:rPr>
              <w:t>, Budapest, 2016</w:t>
            </w:r>
          </w:p>
          <w:p w14:paraId="25471D79" w14:textId="77777777" w:rsidR="004240F0" w:rsidRPr="006B22F1" w:rsidRDefault="004240F0" w:rsidP="00F356EE">
            <w:pPr>
              <w:pStyle w:val="Listaszerbekezds"/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ind w:left="342" w:hanging="342"/>
              <w:textAlignment w:val="auto"/>
              <w:rPr>
                <w:iCs/>
                <w:color w:val="000000"/>
              </w:rPr>
            </w:pPr>
            <w:proofErr w:type="spellStart"/>
            <w:r w:rsidRPr="006B22F1">
              <w:rPr>
                <w:iCs/>
                <w:color w:val="000000"/>
              </w:rPr>
              <w:t>Fuglinszky</w:t>
            </w:r>
            <w:proofErr w:type="spellEnd"/>
            <w:r w:rsidRPr="006B22F1">
              <w:rPr>
                <w:iCs/>
                <w:color w:val="000000"/>
              </w:rPr>
              <w:t xml:space="preserve"> Ádám –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Tőkey</w:t>
            </w:r>
            <w:proofErr w:type="spellEnd"/>
            <w:r>
              <w:rPr>
                <w:iCs/>
                <w:color w:val="000000"/>
              </w:rPr>
              <w:t xml:space="preserve"> Balázs: Szerződési jog. </w:t>
            </w:r>
            <w:r w:rsidRPr="006B22F1">
              <w:rPr>
                <w:iCs/>
                <w:color w:val="000000"/>
              </w:rPr>
              <w:t>Különös rész</w:t>
            </w:r>
            <w:r>
              <w:rPr>
                <w:iCs/>
                <w:color w:val="000000"/>
              </w:rPr>
              <w:t>,</w:t>
            </w:r>
            <w:r w:rsidRPr="006B22F1">
              <w:rPr>
                <w:iCs/>
                <w:color w:val="000000"/>
              </w:rPr>
              <w:t xml:space="preserve"> ELT</w:t>
            </w:r>
            <w:r>
              <w:rPr>
                <w:iCs/>
                <w:color w:val="000000"/>
              </w:rPr>
              <w:t>E Eötvös Kiadó, Budapest, 2018</w:t>
            </w:r>
          </w:p>
          <w:p w14:paraId="34428279" w14:textId="77777777" w:rsidR="004240F0" w:rsidRPr="006B22F1" w:rsidRDefault="004240F0" w:rsidP="00F356EE">
            <w:pPr>
              <w:pStyle w:val="Listaszerbekezds"/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ind w:left="342" w:hanging="342"/>
              <w:textAlignment w:val="auto"/>
              <w:rPr>
                <w:iCs/>
                <w:color w:val="000000"/>
              </w:rPr>
            </w:pPr>
            <w:r w:rsidRPr="006B22F1">
              <w:rPr>
                <w:iCs/>
                <w:color w:val="000000"/>
              </w:rPr>
              <w:t>Petrik Ferenc (szerk.): Az új Ptk. Magyarázata, I/VI és IV/VI. kötetek (A 2013. évi V. törvény, az új Ptk. kommentárja), HVG-ORAC, Budapest, 2014. második kiadás</w:t>
            </w:r>
          </w:p>
          <w:p w14:paraId="76943BCA" w14:textId="77777777" w:rsidR="004240F0" w:rsidRPr="006B22F1" w:rsidRDefault="004240F0" w:rsidP="00F356EE">
            <w:pPr>
              <w:pStyle w:val="Listaszerbekezds"/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ind w:left="342" w:hanging="342"/>
              <w:textAlignment w:val="auto"/>
              <w:rPr>
                <w:iCs/>
                <w:color w:val="000000"/>
              </w:rPr>
            </w:pPr>
            <w:proofErr w:type="spellStart"/>
            <w:r w:rsidRPr="006B22F1">
              <w:rPr>
                <w:iCs/>
                <w:color w:val="000000"/>
              </w:rPr>
              <w:t>Osztovics</w:t>
            </w:r>
            <w:proofErr w:type="spellEnd"/>
            <w:r w:rsidRPr="006B22F1">
              <w:rPr>
                <w:iCs/>
                <w:color w:val="000000"/>
              </w:rPr>
              <w:t xml:space="preserve"> András (szerk.): Ptk. Kommentár III., IV. kötetek OPTEN, Budapest, 2014.</w:t>
            </w:r>
          </w:p>
          <w:p w14:paraId="2FC69A70" w14:textId="77777777" w:rsidR="004240F0" w:rsidRPr="006B22F1" w:rsidRDefault="004240F0" w:rsidP="00F356EE">
            <w:pPr>
              <w:pStyle w:val="Listaszerbekezds"/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ind w:left="342" w:hanging="342"/>
              <w:textAlignment w:val="auto"/>
              <w:rPr>
                <w:iCs/>
                <w:color w:val="000000"/>
              </w:rPr>
            </w:pPr>
            <w:proofErr w:type="spellStart"/>
            <w:r w:rsidRPr="006B22F1">
              <w:rPr>
                <w:iCs/>
                <w:color w:val="000000"/>
              </w:rPr>
              <w:lastRenderedPageBreak/>
              <w:t>Fuglinszky</w:t>
            </w:r>
            <w:proofErr w:type="spellEnd"/>
            <w:r w:rsidRPr="006B22F1">
              <w:rPr>
                <w:iCs/>
                <w:color w:val="000000"/>
              </w:rPr>
              <w:t xml:space="preserve"> Ádám: Kártérítési jog. Új magánjog sorozat. HVG-ORAC Kiadó, Budapest, 2015.</w:t>
            </w:r>
          </w:p>
          <w:p w14:paraId="711F7D72" w14:textId="77777777" w:rsidR="004240F0" w:rsidRDefault="004240F0" w:rsidP="00F356EE">
            <w:pPr>
              <w:pStyle w:val="Listaszerbekezds"/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ind w:left="342" w:hanging="342"/>
              <w:textAlignment w:val="auto"/>
              <w:rPr>
                <w:iCs/>
                <w:color w:val="000000"/>
              </w:rPr>
            </w:pPr>
            <w:r w:rsidRPr="006B22F1">
              <w:rPr>
                <w:iCs/>
                <w:color w:val="000000"/>
              </w:rPr>
              <w:t xml:space="preserve">Újváriné Antal Edit: Felelősségtan. </w:t>
            </w:r>
            <w:proofErr w:type="spellStart"/>
            <w:r w:rsidRPr="006B22F1">
              <w:rPr>
                <w:iCs/>
                <w:color w:val="000000"/>
              </w:rPr>
              <w:t>Patrocínium</w:t>
            </w:r>
            <w:proofErr w:type="spellEnd"/>
            <w:r w:rsidRPr="006B22F1">
              <w:rPr>
                <w:iCs/>
                <w:color w:val="000000"/>
              </w:rPr>
              <w:t xml:space="preserve"> Kiadó, Budapest, 2017.</w:t>
            </w:r>
          </w:p>
          <w:p w14:paraId="2B0B0285" w14:textId="5DD96C1B" w:rsidR="00185CBE" w:rsidRPr="004240F0" w:rsidRDefault="004240F0" w:rsidP="00F356EE">
            <w:pPr>
              <w:pStyle w:val="Listaszerbekezds"/>
              <w:numPr>
                <w:ilvl w:val="0"/>
                <w:numId w:val="18"/>
              </w:numPr>
              <w:suppressAutoHyphens w:val="0"/>
              <w:autoSpaceDN/>
              <w:spacing w:line="240" w:lineRule="auto"/>
              <w:ind w:left="342" w:hanging="342"/>
              <w:textAlignment w:val="auto"/>
              <w:rPr>
                <w:iCs/>
                <w:color w:val="000000"/>
              </w:rPr>
            </w:pPr>
            <w:r w:rsidRPr="00136E26">
              <w:rPr>
                <w:color w:val="000000"/>
              </w:rPr>
              <w:t xml:space="preserve">Pusztahelyi Réka: </w:t>
            </w:r>
            <w:proofErr w:type="spellStart"/>
            <w:r w:rsidRPr="00136E26">
              <w:rPr>
                <w:color w:val="000000"/>
              </w:rPr>
              <w:t>Assumption</w:t>
            </w:r>
            <w:proofErr w:type="spellEnd"/>
            <w:r w:rsidRPr="00136E26">
              <w:rPr>
                <w:color w:val="000000"/>
              </w:rPr>
              <w:t xml:space="preserve"> of </w:t>
            </w:r>
            <w:proofErr w:type="spellStart"/>
            <w:r w:rsidRPr="00136E26">
              <w:rPr>
                <w:color w:val="000000"/>
              </w:rPr>
              <w:t>Risk</w:t>
            </w:r>
            <w:proofErr w:type="spellEnd"/>
            <w:r w:rsidRPr="00136E26">
              <w:rPr>
                <w:color w:val="000000"/>
              </w:rPr>
              <w:t xml:space="preserve"> and Express </w:t>
            </w:r>
            <w:proofErr w:type="spellStart"/>
            <w:r w:rsidRPr="00136E26">
              <w:rPr>
                <w:color w:val="000000"/>
              </w:rPr>
              <w:t>Consent</w:t>
            </w:r>
            <w:proofErr w:type="spellEnd"/>
            <w:r w:rsidRPr="00136E26">
              <w:rPr>
                <w:color w:val="000000"/>
              </w:rPr>
              <w:t xml:space="preserve"> </w:t>
            </w:r>
            <w:proofErr w:type="spellStart"/>
            <w:r w:rsidRPr="00136E26">
              <w:rPr>
                <w:color w:val="000000"/>
              </w:rPr>
              <w:t>from</w:t>
            </w:r>
            <w:proofErr w:type="spellEnd"/>
            <w:r w:rsidRPr="00136E26">
              <w:rPr>
                <w:color w:val="000000"/>
              </w:rPr>
              <w:t xml:space="preserve"> </w:t>
            </w:r>
            <w:proofErr w:type="spellStart"/>
            <w:r w:rsidRPr="00136E26">
              <w:rPr>
                <w:color w:val="000000"/>
              </w:rPr>
              <w:t>the</w:t>
            </w:r>
            <w:proofErr w:type="spellEnd"/>
            <w:r w:rsidRPr="00136E26">
              <w:rPr>
                <w:color w:val="000000"/>
              </w:rPr>
              <w:t xml:space="preserve"> </w:t>
            </w:r>
            <w:proofErr w:type="spellStart"/>
            <w:r w:rsidRPr="00136E26">
              <w:rPr>
                <w:color w:val="000000"/>
              </w:rPr>
              <w:t>Viewpoint</w:t>
            </w:r>
            <w:proofErr w:type="spellEnd"/>
            <w:r w:rsidRPr="00136E26">
              <w:rPr>
                <w:color w:val="000000"/>
              </w:rPr>
              <w:t xml:space="preserve"> of </w:t>
            </w:r>
            <w:proofErr w:type="spellStart"/>
            <w:r w:rsidRPr="00136E26">
              <w:rPr>
                <w:color w:val="000000"/>
              </w:rPr>
              <w:t>Liability</w:t>
            </w:r>
            <w:proofErr w:type="spellEnd"/>
            <w:r w:rsidRPr="00136E26">
              <w:rPr>
                <w:color w:val="000000"/>
              </w:rPr>
              <w:t xml:space="preserve"> </w:t>
            </w:r>
            <w:proofErr w:type="spellStart"/>
            <w:r w:rsidRPr="00136E26">
              <w:rPr>
                <w:color w:val="000000"/>
              </w:rPr>
              <w:t>for</w:t>
            </w:r>
            <w:proofErr w:type="spellEnd"/>
            <w:r w:rsidRPr="00136E26">
              <w:rPr>
                <w:color w:val="000000"/>
              </w:rPr>
              <w:t xml:space="preserve"> </w:t>
            </w:r>
            <w:proofErr w:type="spellStart"/>
            <w:r w:rsidRPr="00136E26">
              <w:rPr>
                <w:color w:val="000000"/>
              </w:rPr>
              <w:t>Highly</w:t>
            </w:r>
            <w:proofErr w:type="spellEnd"/>
            <w:r w:rsidRPr="00136E26">
              <w:rPr>
                <w:color w:val="000000"/>
              </w:rPr>
              <w:t xml:space="preserve"> </w:t>
            </w:r>
            <w:proofErr w:type="spellStart"/>
            <w:r w:rsidRPr="00136E26">
              <w:rPr>
                <w:color w:val="000000"/>
              </w:rPr>
              <w:t>Dangerous</w:t>
            </w:r>
            <w:proofErr w:type="spellEnd"/>
            <w:r w:rsidRPr="00136E26">
              <w:rPr>
                <w:color w:val="000000"/>
              </w:rPr>
              <w:t xml:space="preserve"> </w:t>
            </w:r>
            <w:proofErr w:type="spellStart"/>
            <w:r w:rsidRPr="00136E26">
              <w:rPr>
                <w:color w:val="000000"/>
              </w:rPr>
              <w:t>Activities</w:t>
            </w:r>
            <w:proofErr w:type="spellEnd"/>
            <w:r w:rsidRPr="00136E26">
              <w:rPr>
                <w:color w:val="000000"/>
              </w:rPr>
              <w:t xml:space="preserve">, In: European </w:t>
            </w:r>
            <w:proofErr w:type="spellStart"/>
            <w:r w:rsidRPr="00136E26">
              <w:rPr>
                <w:color w:val="000000"/>
              </w:rPr>
              <w:t>Integration</w:t>
            </w:r>
            <w:proofErr w:type="spellEnd"/>
            <w:r w:rsidRPr="00136E26">
              <w:rPr>
                <w:color w:val="000000"/>
              </w:rPr>
              <w:t xml:space="preserve"> </w:t>
            </w:r>
            <w:proofErr w:type="spellStart"/>
            <w:r w:rsidRPr="00136E26">
              <w:rPr>
                <w:color w:val="000000"/>
              </w:rPr>
              <w:t>Studies</w:t>
            </w:r>
            <w:proofErr w:type="spellEnd"/>
            <w:r w:rsidRPr="00136E26">
              <w:rPr>
                <w:color w:val="000000"/>
              </w:rPr>
              <w:t xml:space="preserve">, 2017/1., 19-33. o. </w:t>
            </w:r>
            <w:hyperlink r:id="rId11" w:history="1">
              <w:r w:rsidRPr="00874B38">
                <w:rPr>
                  <w:rStyle w:val="Hiperhivatkozs"/>
                </w:rPr>
                <w:t>http://midra.uni-miskolc.hu/document/32763/28849.pdf</w:t>
              </w:r>
            </w:hyperlink>
            <w:r w:rsidRPr="00136E26">
              <w:rPr>
                <w:color w:val="000000"/>
              </w:rPr>
              <w:t xml:space="preserve"> </w:t>
            </w:r>
          </w:p>
        </w:tc>
      </w:tr>
    </w:tbl>
    <w:p w14:paraId="41EDD303" w14:textId="77777777" w:rsidR="0010535D" w:rsidRDefault="0010535D"/>
    <w:sectPr w:rsidR="0010535D">
      <w:headerReference w:type="defaul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660AC" w14:textId="77777777" w:rsidR="00D56BF6" w:rsidRDefault="00D56BF6">
      <w:pPr>
        <w:spacing w:after="0" w:line="240" w:lineRule="auto"/>
      </w:pPr>
      <w:r>
        <w:separator/>
      </w:r>
    </w:p>
  </w:endnote>
  <w:endnote w:type="continuationSeparator" w:id="0">
    <w:p w14:paraId="55C116C6" w14:textId="77777777" w:rsidR="00D56BF6" w:rsidRDefault="00D56BF6">
      <w:pPr>
        <w:spacing w:after="0" w:line="240" w:lineRule="auto"/>
      </w:pPr>
      <w:r>
        <w:continuationSeparator/>
      </w:r>
    </w:p>
  </w:endnote>
  <w:endnote w:type="continuationNotice" w:id="1">
    <w:p w14:paraId="1771D460" w14:textId="77777777" w:rsidR="00D56BF6" w:rsidRDefault="00D56B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4668C" w14:textId="77777777" w:rsidR="00D56BF6" w:rsidRDefault="00D56BF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8BDFCF" w14:textId="77777777" w:rsidR="00D56BF6" w:rsidRDefault="00D56BF6">
      <w:pPr>
        <w:spacing w:after="0" w:line="240" w:lineRule="auto"/>
      </w:pPr>
      <w:r>
        <w:continuationSeparator/>
      </w:r>
    </w:p>
  </w:footnote>
  <w:footnote w:type="continuationNotice" w:id="1">
    <w:p w14:paraId="3D9C4D30" w14:textId="77777777" w:rsidR="00D56BF6" w:rsidRDefault="00D56B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6EA6C" w14:textId="0C7922D2" w:rsidR="00393C8D" w:rsidRDefault="00393C8D">
    <w:pPr>
      <w:pStyle w:val="lfej"/>
      <w:pBdr>
        <w:bottom w:val="double" w:sz="12" w:space="1" w:color="000000"/>
      </w:pBdr>
      <w:jc w:val="center"/>
      <w:rPr>
        <w:rFonts w:cs="Calibri"/>
        <w:smallCaps/>
        <w:szCs w:val="24"/>
      </w:rPr>
    </w:pPr>
    <w:r>
      <w:rPr>
        <w:rFonts w:cs="Calibri"/>
        <w:smallCaps/>
        <w:szCs w:val="24"/>
      </w:rPr>
      <w:t>Miskolci Egyetem állam- és Jogtudományi Kar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5510"/>
    <w:multiLevelType w:val="hybridMultilevel"/>
    <w:tmpl w:val="C2BE83F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B57F6"/>
    <w:multiLevelType w:val="multilevel"/>
    <w:tmpl w:val="9D567526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121B43DD"/>
    <w:multiLevelType w:val="hybridMultilevel"/>
    <w:tmpl w:val="77322A6E"/>
    <w:lvl w:ilvl="0" w:tplc="040E000F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40042FB8">
      <w:start w:val="1"/>
      <w:numFmt w:val="decimal"/>
      <w:lvlText w:val="%2."/>
      <w:lvlJc w:val="left"/>
      <w:pPr>
        <w:ind w:left="513" w:hanging="360"/>
      </w:pPr>
      <w:rPr>
        <w:rFonts w:cs="Times New Roman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1B071AD1"/>
    <w:multiLevelType w:val="hybridMultilevel"/>
    <w:tmpl w:val="010A5B8C"/>
    <w:lvl w:ilvl="0" w:tplc="EAC87B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A1AD39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44870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7E776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EF24A9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784760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D5810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D168AA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D7E3B8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FD52E8"/>
    <w:multiLevelType w:val="hybridMultilevel"/>
    <w:tmpl w:val="B5A6420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56414"/>
    <w:multiLevelType w:val="hybridMultilevel"/>
    <w:tmpl w:val="5CA0F9D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B07F1C"/>
    <w:multiLevelType w:val="hybridMultilevel"/>
    <w:tmpl w:val="C2BE83F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0662D6"/>
    <w:multiLevelType w:val="hybridMultilevel"/>
    <w:tmpl w:val="C35658BA"/>
    <w:lvl w:ilvl="0" w:tplc="5FFE12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5118DD"/>
    <w:multiLevelType w:val="hybridMultilevel"/>
    <w:tmpl w:val="31FAB27C"/>
    <w:lvl w:ilvl="0" w:tplc="DF5079F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CD7CE1"/>
    <w:multiLevelType w:val="hybridMultilevel"/>
    <w:tmpl w:val="6EA0900A"/>
    <w:lvl w:ilvl="0" w:tplc="040E000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6C1A2A"/>
    <w:multiLevelType w:val="hybridMultilevel"/>
    <w:tmpl w:val="D312FA30"/>
    <w:lvl w:ilvl="0" w:tplc="CC28B16A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BA5593"/>
    <w:multiLevelType w:val="hybridMultilevel"/>
    <w:tmpl w:val="49B2B13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26411F"/>
    <w:multiLevelType w:val="hybridMultilevel"/>
    <w:tmpl w:val="EDBA99C2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B7049B8"/>
    <w:multiLevelType w:val="hybridMultilevel"/>
    <w:tmpl w:val="134E12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130A5"/>
    <w:multiLevelType w:val="hybridMultilevel"/>
    <w:tmpl w:val="AFBAF1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0622B"/>
    <w:multiLevelType w:val="hybridMultilevel"/>
    <w:tmpl w:val="F7307D9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985CB6"/>
    <w:multiLevelType w:val="hybridMultilevel"/>
    <w:tmpl w:val="16367E6E"/>
    <w:lvl w:ilvl="0" w:tplc="B70612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36AEFA1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3CF82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F6092C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AA44A2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358C3B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7AB8B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EE426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62647D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AC791B"/>
    <w:multiLevelType w:val="hybridMultilevel"/>
    <w:tmpl w:val="B8E837D2"/>
    <w:lvl w:ilvl="0" w:tplc="6E38C3C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2D54EE6"/>
    <w:multiLevelType w:val="hybridMultilevel"/>
    <w:tmpl w:val="2354C2EC"/>
    <w:lvl w:ilvl="0" w:tplc="40845E2A">
      <w:start w:val="1"/>
      <w:numFmt w:val="decimal"/>
      <w:lvlText w:val="%1."/>
      <w:lvlJc w:val="left"/>
      <w:pPr>
        <w:tabs>
          <w:tab w:val="num" w:pos="632"/>
        </w:tabs>
        <w:ind w:left="709" w:hanging="284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9" w15:restartNumberingAfterBreak="0">
    <w:nsid w:val="65D609D7"/>
    <w:multiLevelType w:val="hybridMultilevel"/>
    <w:tmpl w:val="7876D676"/>
    <w:lvl w:ilvl="0" w:tplc="A15CC28E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63644F4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2261CC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EEB60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36893D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6FC52C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4AAC0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A16247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172522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AA50A02"/>
    <w:multiLevelType w:val="hybridMultilevel"/>
    <w:tmpl w:val="BA5AB488"/>
    <w:lvl w:ilvl="0" w:tplc="CC28B1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8971BF6"/>
    <w:multiLevelType w:val="hybridMultilevel"/>
    <w:tmpl w:val="1ACC71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881202">
    <w:abstractNumId w:val="1"/>
  </w:num>
  <w:num w:numId="2" w16cid:durableId="1419253470">
    <w:abstractNumId w:val="5"/>
  </w:num>
  <w:num w:numId="3" w16cid:durableId="669530014">
    <w:abstractNumId w:val="4"/>
  </w:num>
  <w:num w:numId="4" w16cid:durableId="329065547">
    <w:abstractNumId w:val="9"/>
  </w:num>
  <w:num w:numId="5" w16cid:durableId="1691491740">
    <w:abstractNumId w:val="3"/>
  </w:num>
  <w:num w:numId="6" w16cid:durableId="1460296366">
    <w:abstractNumId w:val="8"/>
  </w:num>
  <w:num w:numId="7" w16cid:durableId="2097510726">
    <w:abstractNumId w:val="16"/>
  </w:num>
  <w:num w:numId="8" w16cid:durableId="48892091">
    <w:abstractNumId w:val="20"/>
  </w:num>
  <w:num w:numId="9" w16cid:durableId="1039554830">
    <w:abstractNumId w:val="12"/>
  </w:num>
  <w:num w:numId="10" w16cid:durableId="1670790032">
    <w:abstractNumId w:val="7"/>
  </w:num>
  <w:num w:numId="11" w16cid:durableId="693456648">
    <w:abstractNumId w:val="17"/>
  </w:num>
  <w:num w:numId="12" w16cid:durableId="632178439">
    <w:abstractNumId w:val="2"/>
  </w:num>
  <w:num w:numId="13" w16cid:durableId="646320498">
    <w:abstractNumId w:val="19"/>
  </w:num>
  <w:num w:numId="14" w16cid:durableId="844052968">
    <w:abstractNumId w:val="10"/>
  </w:num>
  <w:num w:numId="15" w16cid:durableId="2103136182">
    <w:abstractNumId w:val="18"/>
  </w:num>
  <w:num w:numId="16" w16cid:durableId="947933084">
    <w:abstractNumId w:val="21"/>
  </w:num>
  <w:num w:numId="17" w16cid:durableId="305206631">
    <w:abstractNumId w:val="14"/>
  </w:num>
  <w:num w:numId="18" w16cid:durableId="1809855297">
    <w:abstractNumId w:val="15"/>
  </w:num>
  <w:num w:numId="19" w16cid:durableId="829367675">
    <w:abstractNumId w:val="13"/>
  </w:num>
  <w:num w:numId="20" w16cid:durableId="776679568">
    <w:abstractNumId w:val="0"/>
  </w:num>
  <w:num w:numId="21" w16cid:durableId="1902213172">
    <w:abstractNumId w:val="6"/>
  </w:num>
  <w:num w:numId="22" w16cid:durableId="5393171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CkiYGlmZmFqamBko6SsGpxcWZ+XkgBaa1AKntd70sAAAA"/>
  </w:docVars>
  <w:rsids>
    <w:rsidRoot w:val="0010535D"/>
    <w:rsid w:val="000164F6"/>
    <w:rsid w:val="00017F5C"/>
    <w:rsid w:val="00064EE6"/>
    <w:rsid w:val="000D3CE9"/>
    <w:rsid w:val="000D3DDF"/>
    <w:rsid w:val="000D419F"/>
    <w:rsid w:val="0010535D"/>
    <w:rsid w:val="0011222C"/>
    <w:rsid w:val="001341A8"/>
    <w:rsid w:val="0013571C"/>
    <w:rsid w:val="0014777A"/>
    <w:rsid w:val="00170E6B"/>
    <w:rsid w:val="00185CBE"/>
    <w:rsid w:val="0018730E"/>
    <w:rsid w:val="001B7A49"/>
    <w:rsid w:val="001C7EE3"/>
    <w:rsid w:val="001D10BD"/>
    <w:rsid w:val="001D2A3D"/>
    <w:rsid w:val="001E35DD"/>
    <w:rsid w:val="00227F77"/>
    <w:rsid w:val="002300E7"/>
    <w:rsid w:val="00232CE9"/>
    <w:rsid w:val="002428B7"/>
    <w:rsid w:val="00257963"/>
    <w:rsid w:val="002A005F"/>
    <w:rsid w:val="002A504D"/>
    <w:rsid w:val="002D33C9"/>
    <w:rsid w:val="002F1756"/>
    <w:rsid w:val="00337BDD"/>
    <w:rsid w:val="003876C4"/>
    <w:rsid w:val="00393C8D"/>
    <w:rsid w:val="003A74A0"/>
    <w:rsid w:val="003D555A"/>
    <w:rsid w:val="003E3DD6"/>
    <w:rsid w:val="003F506C"/>
    <w:rsid w:val="004077E8"/>
    <w:rsid w:val="004240F0"/>
    <w:rsid w:val="00472294"/>
    <w:rsid w:val="00476B3A"/>
    <w:rsid w:val="0049759F"/>
    <w:rsid w:val="004C72BC"/>
    <w:rsid w:val="004E18A8"/>
    <w:rsid w:val="004E4630"/>
    <w:rsid w:val="004F6810"/>
    <w:rsid w:val="00517E06"/>
    <w:rsid w:val="00522763"/>
    <w:rsid w:val="00527130"/>
    <w:rsid w:val="00541B55"/>
    <w:rsid w:val="00552066"/>
    <w:rsid w:val="00570D78"/>
    <w:rsid w:val="00575F20"/>
    <w:rsid w:val="00577982"/>
    <w:rsid w:val="00584BB0"/>
    <w:rsid w:val="0059032F"/>
    <w:rsid w:val="005A5B4B"/>
    <w:rsid w:val="005B758D"/>
    <w:rsid w:val="005F744A"/>
    <w:rsid w:val="006058F6"/>
    <w:rsid w:val="0060781E"/>
    <w:rsid w:val="0063607E"/>
    <w:rsid w:val="00637EA9"/>
    <w:rsid w:val="00655261"/>
    <w:rsid w:val="00665B47"/>
    <w:rsid w:val="006679AA"/>
    <w:rsid w:val="00671250"/>
    <w:rsid w:val="006724E9"/>
    <w:rsid w:val="00676BA7"/>
    <w:rsid w:val="006814A0"/>
    <w:rsid w:val="00685100"/>
    <w:rsid w:val="006B2FA6"/>
    <w:rsid w:val="006B763E"/>
    <w:rsid w:val="006C32F7"/>
    <w:rsid w:val="006C686F"/>
    <w:rsid w:val="006E0414"/>
    <w:rsid w:val="007005F0"/>
    <w:rsid w:val="00743F40"/>
    <w:rsid w:val="00746AE7"/>
    <w:rsid w:val="007537A1"/>
    <w:rsid w:val="00753EFC"/>
    <w:rsid w:val="0077560D"/>
    <w:rsid w:val="0077591B"/>
    <w:rsid w:val="007D32F7"/>
    <w:rsid w:val="007D7821"/>
    <w:rsid w:val="007F35E0"/>
    <w:rsid w:val="00891478"/>
    <w:rsid w:val="008F4E14"/>
    <w:rsid w:val="009727A8"/>
    <w:rsid w:val="00976EBF"/>
    <w:rsid w:val="00991B02"/>
    <w:rsid w:val="009A6C0E"/>
    <w:rsid w:val="009F5B5B"/>
    <w:rsid w:val="00A31138"/>
    <w:rsid w:val="00A31D62"/>
    <w:rsid w:val="00A36609"/>
    <w:rsid w:val="00A378A0"/>
    <w:rsid w:val="00A76BC1"/>
    <w:rsid w:val="00A90355"/>
    <w:rsid w:val="00AA1BDC"/>
    <w:rsid w:val="00AA2277"/>
    <w:rsid w:val="00AC2C73"/>
    <w:rsid w:val="00AC4FE4"/>
    <w:rsid w:val="00AD0411"/>
    <w:rsid w:val="00AE2ADC"/>
    <w:rsid w:val="00B37181"/>
    <w:rsid w:val="00B64CDA"/>
    <w:rsid w:val="00BA70C7"/>
    <w:rsid w:val="00BF38AD"/>
    <w:rsid w:val="00BF4793"/>
    <w:rsid w:val="00BF63EE"/>
    <w:rsid w:val="00C315C3"/>
    <w:rsid w:val="00C32894"/>
    <w:rsid w:val="00C44374"/>
    <w:rsid w:val="00C46FD3"/>
    <w:rsid w:val="00C527D4"/>
    <w:rsid w:val="00C71356"/>
    <w:rsid w:val="00C72E95"/>
    <w:rsid w:val="00C92B72"/>
    <w:rsid w:val="00C93B2C"/>
    <w:rsid w:val="00CC4B94"/>
    <w:rsid w:val="00CD0200"/>
    <w:rsid w:val="00CE2397"/>
    <w:rsid w:val="00CF3F43"/>
    <w:rsid w:val="00D1033B"/>
    <w:rsid w:val="00D16C01"/>
    <w:rsid w:val="00D22798"/>
    <w:rsid w:val="00D230F3"/>
    <w:rsid w:val="00D306FB"/>
    <w:rsid w:val="00D4388F"/>
    <w:rsid w:val="00D56BF6"/>
    <w:rsid w:val="00D80006"/>
    <w:rsid w:val="00D91E8E"/>
    <w:rsid w:val="00D93F9D"/>
    <w:rsid w:val="00DC37BD"/>
    <w:rsid w:val="00DE514C"/>
    <w:rsid w:val="00E21515"/>
    <w:rsid w:val="00E249B5"/>
    <w:rsid w:val="00E4045E"/>
    <w:rsid w:val="00EB7202"/>
    <w:rsid w:val="00EC39E6"/>
    <w:rsid w:val="00EC6CE9"/>
    <w:rsid w:val="00F356EE"/>
    <w:rsid w:val="00F37DD8"/>
    <w:rsid w:val="00F5439F"/>
    <w:rsid w:val="00F605F0"/>
    <w:rsid w:val="00F80095"/>
    <w:rsid w:val="00FC7EED"/>
    <w:rsid w:val="00FD1C71"/>
    <w:rsid w:val="00FD20A7"/>
    <w:rsid w:val="00FD4EC5"/>
    <w:rsid w:val="3FAACF18"/>
    <w:rsid w:val="4A812E2E"/>
    <w:rsid w:val="6616F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40891"/>
  <w15:docId w15:val="{A7A49DD7-7B5E-4B5C-9143-F29FFBC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pPr>
      <w:suppressAutoHyphens/>
      <w:spacing w:after="120"/>
      <w:jc w:val="both"/>
    </w:pPr>
    <w:rPr>
      <w:rFonts w:ascii="Times New Roman" w:hAnsi="Times New Roman"/>
    </w:rPr>
  </w:style>
  <w:style w:type="paragraph" w:styleId="Cmsor2">
    <w:name w:val="heading 2"/>
    <w:basedOn w:val="Norml"/>
    <w:next w:val="Norml"/>
    <w:autoRedefine/>
    <w:pPr>
      <w:keepNext/>
      <w:numPr>
        <w:ilvl w:val="1"/>
        <w:numId w:val="1"/>
      </w:numPr>
      <w:spacing w:before="360" w:after="240"/>
      <w:outlineLvl w:val="1"/>
    </w:pPr>
    <w:rPr>
      <w:rFonts w:eastAsia="Times New Roman"/>
      <w:b/>
      <w:bCs/>
      <w:iCs/>
      <w:sz w:val="24"/>
      <w:szCs w:val="28"/>
    </w:rPr>
  </w:style>
  <w:style w:type="paragraph" w:styleId="Cmsor3">
    <w:name w:val="heading 3"/>
    <w:basedOn w:val="Norml"/>
    <w:next w:val="Norml"/>
    <w:autoRedefine/>
    <w:pPr>
      <w:keepNext/>
      <w:keepLines/>
      <w:spacing w:before="240"/>
      <w:ind w:left="720" w:hanging="720"/>
      <w:outlineLvl w:val="2"/>
    </w:pPr>
    <w:rPr>
      <w:rFonts w:eastAsia="Times New Roman"/>
      <w:b/>
      <w:bCs/>
      <w:color w:val="1D3C5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WWOutlineListStyle">
    <w:name w:val="WW_OutlineListStyle"/>
    <w:basedOn w:val="Nemlista"/>
    <w:pPr>
      <w:numPr>
        <w:numId w:val="1"/>
      </w:numPr>
    </w:pPr>
  </w:style>
  <w:style w:type="character" w:customStyle="1" w:styleId="Cmsor2Char">
    <w:name w:val="Címsor 2 Char"/>
    <w:basedOn w:val="Bekezdsalapbettpusa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Cmsor3Char">
    <w:name w:val="Címsor 3 Char"/>
    <w:basedOn w:val="Bekezdsalapbettpusa"/>
    <w:rPr>
      <w:rFonts w:ascii="Times New Roman" w:eastAsia="Times New Roman" w:hAnsi="Times New Roman" w:cs="Times New Roman"/>
      <w:b/>
      <w:bCs/>
      <w:color w:val="1D3C57"/>
    </w:rPr>
  </w:style>
  <w:style w:type="paragraph" w:styleId="lfej">
    <w:name w:val="head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rPr>
      <w:rFonts w:ascii="Times New Roman" w:hAnsi="Times New Roman"/>
    </w:rPr>
  </w:style>
  <w:style w:type="paragraph" w:styleId="llb">
    <w:name w:val="foot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rPr>
      <w:rFonts w:ascii="Times New Roman" w:hAnsi="Times New Roman"/>
    </w:rPr>
  </w:style>
  <w:style w:type="paragraph" w:styleId="Lbjegyzetszveg">
    <w:name w:val="footnote text"/>
    <w:basedOn w:val="Norml"/>
    <w:link w:val="LbjegyzetszvegChar"/>
    <w:semiHidden/>
    <w:unhideWhenUsed/>
    <w:rsid w:val="00D230F3"/>
    <w:pPr>
      <w:suppressAutoHyphens w:val="0"/>
      <w:autoSpaceDN/>
      <w:spacing w:after="0" w:line="240" w:lineRule="auto"/>
      <w:jc w:val="left"/>
      <w:textAlignment w:val="auto"/>
    </w:pPr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230F3"/>
    <w:rPr>
      <w:rFonts w:ascii="Times New Roman" w:eastAsia="Times New Roman" w:hAnsi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D230F3"/>
    <w:rPr>
      <w:vertAlign w:val="superscript"/>
    </w:rPr>
  </w:style>
  <w:style w:type="table" w:styleId="Rcsostblzat">
    <w:name w:val="Table Grid"/>
    <w:basedOn w:val="Normltblzat"/>
    <w:uiPriority w:val="59"/>
    <w:rsid w:val="00D2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2">
    <w:name w:val="Listaszerű bekezdés2"/>
    <w:basedOn w:val="Norml"/>
    <w:rsid w:val="00CD0200"/>
    <w:pPr>
      <w:suppressAutoHyphens w:val="0"/>
      <w:autoSpaceDN/>
      <w:spacing w:after="0" w:line="240" w:lineRule="auto"/>
      <w:ind w:left="720"/>
      <w:contextualSpacing/>
      <w:jc w:val="left"/>
      <w:textAlignment w:val="auto"/>
    </w:pPr>
    <w:rPr>
      <w:rFonts w:eastAsia="Times New Roman"/>
      <w:sz w:val="24"/>
      <w:szCs w:val="24"/>
      <w:lang w:eastAsia="hu-HU"/>
    </w:rPr>
  </w:style>
  <w:style w:type="paragraph" w:customStyle="1" w:styleId="bek2">
    <w:name w:val="bek2"/>
    <w:basedOn w:val="Norml"/>
    <w:rsid w:val="004077E8"/>
    <w:pPr>
      <w:suppressAutoHyphens w:val="0"/>
      <w:autoSpaceDN/>
      <w:spacing w:after="0" w:line="360" w:lineRule="atLeast"/>
      <w:ind w:left="426" w:hanging="426"/>
      <w:textAlignment w:val="auto"/>
    </w:pPr>
    <w:rPr>
      <w:rFonts w:eastAsia="Times New Roman"/>
      <w:sz w:val="26"/>
      <w:szCs w:val="20"/>
      <w:lang w:eastAsia="hu-HU"/>
    </w:rPr>
  </w:style>
  <w:style w:type="paragraph" w:styleId="Szvegtrzs">
    <w:name w:val="Body Text"/>
    <w:basedOn w:val="Norml"/>
    <w:link w:val="SzvegtrzsChar"/>
    <w:rsid w:val="004077E8"/>
    <w:pPr>
      <w:suppressAutoHyphens w:val="0"/>
      <w:autoSpaceDN/>
      <w:spacing w:after="0" w:line="240" w:lineRule="auto"/>
      <w:textAlignment w:val="auto"/>
    </w:pPr>
    <w:rPr>
      <w:rFonts w:eastAsia="Times New Roman"/>
      <w:sz w:val="24"/>
      <w:szCs w:val="20"/>
      <w:lang w:eastAsia="ja-JP"/>
    </w:rPr>
  </w:style>
  <w:style w:type="character" w:customStyle="1" w:styleId="SzvegtrzsChar">
    <w:name w:val="Szövegtörzs Char"/>
    <w:basedOn w:val="Bekezdsalapbettpusa"/>
    <w:link w:val="Szvegtrzs"/>
    <w:rsid w:val="004077E8"/>
    <w:rPr>
      <w:rFonts w:ascii="Times New Roman" w:eastAsia="Times New Roman" w:hAnsi="Times New Roman"/>
      <w:sz w:val="24"/>
      <w:szCs w:val="20"/>
      <w:lang w:eastAsia="ja-JP"/>
    </w:rPr>
  </w:style>
  <w:style w:type="paragraph" w:styleId="Listaszerbekezds">
    <w:name w:val="List Paragraph"/>
    <w:basedOn w:val="Norml"/>
    <w:uiPriority w:val="99"/>
    <w:qFormat/>
    <w:rsid w:val="00746AE7"/>
    <w:pPr>
      <w:ind w:left="720"/>
      <w:contextualSpacing/>
    </w:pPr>
  </w:style>
  <w:style w:type="paragraph" w:customStyle="1" w:styleId="felsorol">
    <w:name w:val="felsorol"/>
    <w:basedOn w:val="Norml"/>
    <w:rsid w:val="004F6810"/>
    <w:pPr>
      <w:suppressAutoHyphens w:val="0"/>
      <w:autoSpaceDN/>
      <w:spacing w:after="0" w:line="240" w:lineRule="auto"/>
      <w:ind w:left="567" w:hanging="567"/>
      <w:textAlignment w:val="auto"/>
    </w:pPr>
    <w:rPr>
      <w:rFonts w:eastAsia="Times New Roman"/>
      <w:sz w:val="26"/>
      <w:szCs w:val="20"/>
      <w:lang w:eastAsia="hu-HU"/>
    </w:rPr>
  </w:style>
  <w:style w:type="paragraph" w:customStyle="1" w:styleId="Listaszerbekezds1">
    <w:name w:val="Listaszerű bekezdés1"/>
    <w:basedOn w:val="Norml"/>
    <w:rsid w:val="004F6810"/>
    <w:pPr>
      <w:suppressAutoHyphens w:val="0"/>
      <w:autoSpaceDN/>
      <w:spacing w:after="200"/>
      <w:ind w:left="720"/>
      <w:contextualSpacing/>
      <w:jc w:val="left"/>
      <w:textAlignment w:val="auto"/>
    </w:pPr>
    <w:rPr>
      <w:rFonts w:ascii="Calibri" w:eastAsia="Times New Roman" w:hAnsi="Calibri"/>
    </w:rPr>
  </w:style>
  <w:style w:type="character" w:styleId="Hiperhivatkozs">
    <w:name w:val="Hyperlink"/>
    <w:basedOn w:val="Bekezdsalapbettpusa"/>
    <w:rsid w:val="00BF38AD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552066"/>
    <w:pPr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rFonts w:eastAsia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85C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midra.uni-miskolc.hu/document/32763/28849.pdf" TargetMode="External"/><Relationship Id="rId5" Type="http://schemas.openxmlformats.org/officeDocument/2006/relationships/styles" Target="styles.xml"/><Relationship Id="rId10" Type="http://schemas.openxmlformats.org/officeDocument/2006/relationships/hyperlink" Target="http://jogikar.uni-miskolc.hu/polgari_jogi_tanszek_tansegedlete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bd58e5-1a73-448c-bbd5-ec86ce490b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ADF4BB970DBEB4C8902840782C7A653" ma:contentTypeVersion="17" ma:contentTypeDescription="Új dokumentum létrehozása." ma:contentTypeScope="" ma:versionID="710baa7dafbe02612e9fb81e5d62e0af">
  <xsd:schema xmlns:xsd="http://www.w3.org/2001/XMLSchema" xmlns:xs="http://www.w3.org/2001/XMLSchema" xmlns:p="http://schemas.microsoft.com/office/2006/metadata/properties" xmlns:ns3="97bd58e5-1a73-448c-bbd5-ec86ce490bd6" xmlns:ns4="1839c58e-dc02-4e3c-9932-ace55c51f5f4" targetNamespace="http://schemas.microsoft.com/office/2006/metadata/properties" ma:root="true" ma:fieldsID="4755bd4b5dcc77cb05b88e9be323e0c5" ns3:_="" ns4:_="">
    <xsd:import namespace="97bd58e5-1a73-448c-bbd5-ec86ce490bd6"/>
    <xsd:import namespace="1839c58e-dc02-4e3c-9932-ace55c51f5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d58e5-1a73-448c-bbd5-ec86ce490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9c58e-dc02-4e3c-9932-ace55c51f5f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0DB158-6D80-4404-89CD-C33CA73FF519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1839c58e-dc02-4e3c-9932-ace55c51f5f4"/>
    <ds:schemaRef ds:uri="97bd58e5-1a73-448c-bbd5-ec86ce490bd6"/>
  </ds:schemaRefs>
</ds:datastoreItem>
</file>

<file path=customXml/itemProps2.xml><?xml version="1.0" encoding="utf-8"?>
<ds:datastoreItem xmlns:ds="http://schemas.openxmlformats.org/officeDocument/2006/customXml" ds:itemID="{13512E47-DAF8-4937-A799-9C53BA826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19A9F9-8D8B-4A12-B3D1-70392D927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d58e5-1a73-448c-bbd5-ec86ce490bd6"/>
    <ds:schemaRef ds:uri="1839c58e-dc02-4e3c-9932-ace55c51f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5364</Characters>
  <Application>Microsoft Office Word</Application>
  <DocSecurity>4</DocSecurity>
  <Lines>44</Lines>
  <Paragraphs>12</Paragraphs>
  <ScaleCrop>false</ScaleCrop>
  <Company>Microsoft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</dc:creator>
  <cp:lastModifiedBy>Révész Katalin</cp:lastModifiedBy>
  <cp:revision>2</cp:revision>
  <cp:lastPrinted>2020-02-10T08:35:00Z</cp:lastPrinted>
  <dcterms:created xsi:type="dcterms:W3CDTF">2026-02-04T09:15:00Z</dcterms:created>
  <dcterms:modified xsi:type="dcterms:W3CDTF">2026-02-04T09:15:00Z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e9a52bf6025f4e57383b9068f0e08cf5d106875297d9b69773a27681aabacde2</vt:lpwstr>
  </property>
  <property fmtid="{D5CDD505-2E9C-101B-9397-08002B2CF9AE}" pid="3" name="ContentTypeId">
    <vt:lpwstr>0x010100BADF4BB970DBEB4C8902840782C7A653</vt:lpwstr>
  </property>
</Properties>
</file>